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71" w:rsidRPr="00143571" w:rsidRDefault="00143571" w:rsidP="00143571">
      <w:pPr>
        <w:pStyle w:val="BodyText"/>
        <w:jc w:val="center"/>
        <w:rPr>
          <w:b/>
        </w:rPr>
      </w:pPr>
      <w:r w:rsidRPr="00143571">
        <w:rPr>
          <w:b/>
        </w:rPr>
        <w:t>IS IT TIME FOR THE MEDIA</w:t>
      </w:r>
    </w:p>
    <w:p w:rsidR="00143571" w:rsidRDefault="00143571" w:rsidP="00143571">
      <w:pPr>
        <w:pStyle w:val="BodyText"/>
        <w:jc w:val="center"/>
        <w:rPr>
          <w:b/>
        </w:rPr>
      </w:pPr>
      <w:r w:rsidRPr="00143571">
        <w:rPr>
          <w:b/>
        </w:rPr>
        <w:t>TO INTERVENE IN STRASBOU</w:t>
      </w:r>
      <w:r w:rsidR="00C307BF">
        <w:rPr>
          <w:b/>
        </w:rPr>
        <w:t>R</w:t>
      </w:r>
      <w:r w:rsidRPr="00143571">
        <w:rPr>
          <w:b/>
        </w:rPr>
        <w:t>G?</w:t>
      </w:r>
    </w:p>
    <w:p w:rsidR="00143571" w:rsidRDefault="00143571" w:rsidP="00143571">
      <w:pPr>
        <w:pStyle w:val="BodyText"/>
        <w:jc w:val="center"/>
        <w:rPr>
          <w:b/>
        </w:rPr>
      </w:pPr>
      <w:r>
        <w:rPr>
          <w:b/>
        </w:rPr>
        <w:t>by Al</w:t>
      </w:r>
      <w:r w:rsidR="007D75EB">
        <w:rPr>
          <w:b/>
        </w:rPr>
        <w:t>ina</w:t>
      </w:r>
      <w:r w:rsidR="00553364">
        <w:rPr>
          <w:b/>
        </w:rPr>
        <w:t xml:space="preserve"> Pravdy</w:t>
      </w:r>
      <w:r w:rsidR="002B748C">
        <w:rPr>
          <w:b/>
        </w:rPr>
        <w:t>chenko</w:t>
      </w:r>
      <w:r>
        <w:rPr>
          <w:b/>
        </w:rPr>
        <w:t>, V</w:t>
      </w:r>
      <w:r w:rsidRPr="00143571">
        <w:rPr>
          <w:b/>
        </w:rPr>
        <w:t xml:space="preserve">ita </w:t>
      </w:r>
      <w:r>
        <w:rPr>
          <w:b/>
        </w:rPr>
        <w:t>V</w:t>
      </w:r>
      <w:r w:rsidRPr="00143571">
        <w:rPr>
          <w:b/>
        </w:rPr>
        <w:t>olod</w:t>
      </w:r>
      <w:r w:rsidR="007D75EB">
        <w:rPr>
          <w:b/>
        </w:rPr>
        <w:t>o</w:t>
      </w:r>
      <w:r w:rsidRPr="00143571">
        <w:rPr>
          <w:b/>
        </w:rPr>
        <w:t>vska</w:t>
      </w:r>
      <w:r w:rsidR="00AF1F67">
        <w:rPr>
          <w:b/>
        </w:rPr>
        <w:t xml:space="preserve"> </w:t>
      </w:r>
      <w:r w:rsidR="00C307BF">
        <w:rPr>
          <w:b/>
        </w:rPr>
        <w:t xml:space="preserve">and </w:t>
      </w:r>
      <w:r w:rsidR="00AF1F67">
        <w:rPr>
          <w:b/>
        </w:rPr>
        <w:t>Richard N. Winfield</w:t>
      </w:r>
    </w:p>
    <w:p w:rsidR="00143571" w:rsidRDefault="00AF1F67" w:rsidP="00AF1F67">
      <w:pPr>
        <w:pStyle w:val="BodyTextFirstIndent"/>
      </w:pPr>
      <w:r>
        <w:t>Media organizations and their lawyers are now confronting these questions:</w:t>
      </w:r>
    </w:p>
    <w:p w:rsidR="00AF1F67" w:rsidRDefault="00AF1F67" w:rsidP="00AF1F67">
      <w:pPr>
        <w:pStyle w:val="BodyTextFirstIndent"/>
      </w:pPr>
      <w:r>
        <w:t xml:space="preserve">Should media organizations reconsider </w:t>
      </w:r>
      <w:r w:rsidR="00C307BF">
        <w:t>their</w:t>
      </w:r>
      <w:r>
        <w:t xml:space="preserve"> his</w:t>
      </w:r>
      <w:r w:rsidR="00D87643">
        <w:t xml:space="preserve">torical disinterest in submitting </w:t>
      </w:r>
      <w:r w:rsidR="00D87643" w:rsidRPr="00D87643">
        <w:t>amicus curiae</w:t>
      </w:r>
      <w:r w:rsidR="00D87643">
        <w:t xml:space="preserve"> briefs in media freedom ca</w:t>
      </w:r>
      <w:r w:rsidR="00943755">
        <w:t>s</w:t>
      </w:r>
      <w:r w:rsidR="00D87643">
        <w:t xml:space="preserve">es in the European Court of Human Rights?  Has the Court's sea change become so adverse to the media in recent years that the media's </w:t>
      </w:r>
      <w:r w:rsidR="006324BC" w:rsidRPr="006324BC">
        <w:t>intervention</w:t>
      </w:r>
      <w:r w:rsidR="00D87643">
        <w:t xml:space="preserve"> by filing </w:t>
      </w:r>
      <w:r w:rsidR="00D87643" w:rsidRPr="00D87643">
        <w:t>amicus curiae</w:t>
      </w:r>
      <w:r w:rsidR="00D87643">
        <w:t xml:space="preserve"> briefs has become a matter of necessity rather than mere choice?  If the media became proactive by intervening, what are the chances that their </w:t>
      </w:r>
      <w:r w:rsidR="00D87643" w:rsidRPr="00D87643">
        <w:t>amic</w:t>
      </w:r>
      <w:r w:rsidR="002B748C">
        <w:t>i</w:t>
      </w:r>
      <w:r w:rsidR="00D87643">
        <w:t xml:space="preserve"> briefs will </w:t>
      </w:r>
      <w:r w:rsidR="00C307BF">
        <w:t xml:space="preserve">help </w:t>
      </w:r>
      <w:r w:rsidR="00D87643">
        <w:t xml:space="preserve">reverse the sea change? </w:t>
      </w:r>
    </w:p>
    <w:p w:rsidR="00D87643" w:rsidRDefault="00D87643" w:rsidP="00AF1F67">
      <w:pPr>
        <w:pStyle w:val="BodyTextFirstIndent"/>
      </w:pPr>
      <w:r>
        <w:t>T</w:t>
      </w:r>
      <w:r w:rsidR="00943755">
        <w:t xml:space="preserve">wo recent cases decided by the 17-judge Grand Chamber </w:t>
      </w:r>
      <w:r w:rsidR="00C307BF">
        <w:t xml:space="preserve">of the Court </w:t>
      </w:r>
      <w:r w:rsidR="00943755">
        <w:t>may suggest some answers.  The first</w:t>
      </w:r>
      <w:r w:rsidR="00C307BF">
        <w:t>,</w:t>
      </w:r>
      <w:r w:rsidR="00943755">
        <w:t xml:space="preserve"> </w:t>
      </w:r>
      <w:r w:rsidR="00943755">
        <w:rPr>
          <w:u w:val="single"/>
        </w:rPr>
        <w:t>Bedat v. Switzerland</w:t>
      </w:r>
      <w:r w:rsidR="00943755" w:rsidRPr="00943755">
        <w:rPr>
          <w:rStyle w:val="FootnoteReference"/>
        </w:rPr>
        <w:footnoteReference w:id="1"/>
      </w:r>
      <w:r w:rsidR="00C307BF">
        <w:t xml:space="preserve">, </w:t>
      </w:r>
      <w:r w:rsidR="00943755">
        <w:t xml:space="preserve">created a serious setback for journalists and media outlets by upholding the criminal punishment of a journalist covering a widely reported multiple </w:t>
      </w:r>
      <w:r w:rsidR="00C307BF">
        <w:t xml:space="preserve">murder </w:t>
      </w:r>
      <w:r w:rsidR="00943755">
        <w:t xml:space="preserve">case.  A mentally disturbed </w:t>
      </w:r>
      <w:r w:rsidR="00A179A6">
        <w:t>driver rammed his car into a crowd of pedestrians killing three and injuring eight.  Two years before the defendant's trial before a single professional judge, the journalist published an accurate news story reporting some details of the defendant's mental state.  The journalist obtained this information from a police investigative file which he obtained legally</w:t>
      </w:r>
      <w:r w:rsidR="00C307BF">
        <w:t>,</w:t>
      </w:r>
      <w:r w:rsidR="00A179A6">
        <w:t xml:space="preserve"> unaware that it was confidential.  The defendant made no claim that his privacy or fair trial rights had been violated.  Swiss prosecutors, however, obtained a criminal conviction and fine </w:t>
      </w:r>
      <w:r w:rsidR="00C307BF">
        <w:t xml:space="preserve">against the journalist </w:t>
      </w:r>
      <w:r w:rsidR="00A179A6">
        <w:t>under a criminal code provision</w:t>
      </w:r>
      <w:r w:rsidR="002B748C">
        <w:t xml:space="preserve"> p</w:t>
      </w:r>
      <w:r w:rsidR="00A179A6">
        <w:t>unishing publication of secret documents.</w:t>
      </w:r>
    </w:p>
    <w:p w:rsidR="00A179A6" w:rsidRDefault="00A179A6" w:rsidP="00AF1F67">
      <w:pPr>
        <w:pStyle w:val="BodyTextFirstIndent"/>
      </w:pPr>
      <w:r>
        <w:t xml:space="preserve">In July 2014 a 7-judge chamber in Strasbourg found that Switzerland had violated the journalist's guarantee of freedom of expression under Article 10 of the European Convention </w:t>
      </w:r>
      <w:r>
        <w:lastRenderedPageBreak/>
        <w:t>on Human Rights.  On March 29, 2016, however, the Grand Chamber reversed</w:t>
      </w:r>
      <w:r w:rsidR="00E01477">
        <w:t>,</w:t>
      </w:r>
      <w:r>
        <w:t xml:space="preserve"> 15-2, finding no violation.</w:t>
      </w:r>
    </w:p>
    <w:p w:rsidR="00A179A6" w:rsidRDefault="00A179A6" w:rsidP="00AF1F67">
      <w:pPr>
        <w:pStyle w:val="BodyTextFirstIndent"/>
      </w:pPr>
      <w:r>
        <w:t xml:space="preserve">Significantly, not a single media organization, journalists' association or NGO saw fit to intervene by filing an </w:t>
      </w:r>
      <w:r w:rsidR="00916F78" w:rsidRPr="00D87643">
        <w:t>amicus curiae</w:t>
      </w:r>
      <w:r w:rsidR="00916F78">
        <w:t xml:space="preserve"> brief while the case was pending.  This is notwithstanding that the case presented a dangerous challenge </w:t>
      </w:r>
      <w:r w:rsidR="00E01477">
        <w:t xml:space="preserve">to </w:t>
      </w:r>
      <w:r w:rsidR="00916F78">
        <w:t xml:space="preserve">widely accepted journalistic practices.  Among other </w:t>
      </w:r>
      <w:r w:rsidR="00F3648E">
        <w:t>issues</w:t>
      </w:r>
      <w:r w:rsidR="00916F78">
        <w:t xml:space="preserve">, the media missed the </w:t>
      </w:r>
      <w:r w:rsidR="00FB0BD0">
        <w:t>opportunity</w:t>
      </w:r>
      <w:r w:rsidR="00916F78">
        <w:t xml:space="preserve"> to advise the court how </w:t>
      </w:r>
      <w:r w:rsidR="00E01477">
        <w:t>very rare</w:t>
      </w:r>
      <w:r w:rsidR="00916F78">
        <w:t xml:space="preserve"> were journalists' prosecutions for such coverage in modern democracies.  The media's silence spoke volumes.</w:t>
      </w:r>
    </w:p>
    <w:p w:rsidR="00916F78" w:rsidRDefault="00916F78" w:rsidP="00AF1F67">
      <w:pPr>
        <w:pStyle w:val="BodyTextFirstIndent"/>
      </w:pPr>
      <w:r>
        <w:t xml:space="preserve">The second case before the Grand Chamber, </w:t>
      </w:r>
      <w:r>
        <w:rPr>
          <w:u w:val="single"/>
        </w:rPr>
        <w:t>Mag</w:t>
      </w:r>
      <w:r w:rsidR="00BE6E52">
        <w:rPr>
          <w:u w:val="single"/>
        </w:rPr>
        <w:t>y</w:t>
      </w:r>
      <w:r>
        <w:rPr>
          <w:u w:val="single"/>
        </w:rPr>
        <w:t>a</w:t>
      </w:r>
      <w:r w:rsidR="00BE6E52">
        <w:rPr>
          <w:u w:val="single"/>
        </w:rPr>
        <w:t>r</w:t>
      </w:r>
      <w:r>
        <w:rPr>
          <w:u w:val="single"/>
        </w:rPr>
        <w:t xml:space="preserve"> Helsinki Bizottsag v. Hungary</w:t>
      </w:r>
      <w:r w:rsidRPr="00916F78">
        <w:rPr>
          <w:rStyle w:val="FootnoteReference"/>
        </w:rPr>
        <w:footnoteReference w:id="2"/>
      </w:r>
      <w:r w:rsidRPr="00916F78">
        <w:t xml:space="preserve"> </w:t>
      </w:r>
      <w:r>
        <w:t xml:space="preserve">similarly presented a </w:t>
      </w:r>
      <w:r w:rsidR="00BE6E52">
        <w:t>fundamental</w:t>
      </w:r>
      <w:r>
        <w:t xml:space="preserve"> issue:</w:t>
      </w:r>
      <w:r w:rsidR="00BE6E52">
        <w:t xml:space="preserve"> </w:t>
      </w:r>
      <w:r>
        <w:t xml:space="preserve"> whether Article 10 of the Convention guaranteed the media a right of access to information held by government.  Here the Grand Chamber ha</w:t>
      </w:r>
      <w:r w:rsidR="00E01477">
        <w:t>d</w:t>
      </w:r>
      <w:r>
        <w:t xml:space="preserve"> to confront its own earlier negative precedent, and a forceful effor</w:t>
      </w:r>
      <w:r w:rsidR="00BE6E52">
        <w:t>t by the United Kingdom to convince</w:t>
      </w:r>
      <w:r>
        <w:t xml:space="preserve"> the Court to </w:t>
      </w:r>
      <w:r w:rsidR="00BE6E52">
        <w:t>find</w:t>
      </w:r>
      <w:r>
        <w:t xml:space="preserve"> against the media.</w:t>
      </w:r>
    </w:p>
    <w:p w:rsidR="00034FF4" w:rsidRDefault="00916F78" w:rsidP="00AF1F67">
      <w:pPr>
        <w:pStyle w:val="BodyTextFirstIndent"/>
      </w:pPr>
      <w:r>
        <w:t xml:space="preserve">In the </w:t>
      </w:r>
      <w:r w:rsidRPr="00916F78">
        <w:rPr>
          <w:u w:val="single"/>
        </w:rPr>
        <w:t>M</w:t>
      </w:r>
      <w:r w:rsidR="00BE6E52">
        <w:rPr>
          <w:u w:val="single"/>
        </w:rPr>
        <w:t>agy</w:t>
      </w:r>
      <w:r>
        <w:rPr>
          <w:u w:val="single"/>
        </w:rPr>
        <w:t>a</w:t>
      </w:r>
      <w:r w:rsidR="00E01477">
        <w:rPr>
          <w:u w:val="single"/>
        </w:rPr>
        <w:t>r</w:t>
      </w:r>
      <w:r>
        <w:t xml:space="preserve"> case, however, five NGOs</w:t>
      </w:r>
      <w:r w:rsidR="00034FF4">
        <w:t xml:space="preserve"> actively participated as interveners.  They were Media Legal </w:t>
      </w:r>
      <w:r w:rsidR="00F3648E">
        <w:t>Defence</w:t>
      </w:r>
      <w:r w:rsidR="00034FF4">
        <w:t xml:space="preserve"> Initiative, the </w:t>
      </w:r>
      <w:r w:rsidR="00E01477">
        <w:t>Campaign</w:t>
      </w:r>
      <w:r w:rsidR="00034FF4">
        <w:t xml:space="preserve"> for Freedom of Information, Article 19, the </w:t>
      </w:r>
      <w:r w:rsidR="00034FF4">
        <w:rPr>
          <w:caps/>
        </w:rPr>
        <w:t>A</w:t>
      </w:r>
      <w:r w:rsidR="00034FF4">
        <w:t xml:space="preserve">ccess in Information Programme and the Hungarian Civil Liberties Union.  Their </w:t>
      </w:r>
      <w:r w:rsidR="00034FF4" w:rsidRPr="00D87643">
        <w:t>amic</w:t>
      </w:r>
      <w:r w:rsidR="00E01477">
        <w:t>i</w:t>
      </w:r>
      <w:r w:rsidR="00034FF4" w:rsidRPr="00D87643">
        <w:t xml:space="preserve"> curiae</w:t>
      </w:r>
      <w:r w:rsidR="00034FF4">
        <w:t xml:space="preserve"> brief surveyed the existence of about 100 n</w:t>
      </w:r>
      <w:r w:rsidR="00BE6E52">
        <w:t>ational FO</w:t>
      </w:r>
      <w:r w:rsidR="00E01477">
        <w:t>I</w:t>
      </w:r>
      <w:r w:rsidR="00BE6E52">
        <w:t xml:space="preserve"> laws around the glob</w:t>
      </w:r>
      <w:r w:rsidR="00034FF4">
        <w:t xml:space="preserve">e constituting, in the aggregate, a </w:t>
      </w:r>
      <w:r w:rsidR="00E01477">
        <w:t>true</w:t>
      </w:r>
      <w:r w:rsidR="00034FF4">
        <w:t xml:space="preserve"> international norm.  Aided by this research and advocacy, the Grand Chamber reversed its earlier holding, and, remarkably</w:t>
      </w:r>
      <w:r w:rsidR="00E01477">
        <w:t>,</w:t>
      </w:r>
      <w:r w:rsidR="00034FF4">
        <w:t xml:space="preserve"> found access to information to be a human right.</w:t>
      </w:r>
    </w:p>
    <w:p w:rsidR="00916F78" w:rsidRDefault="00034FF4" w:rsidP="00AF1F67">
      <w:pPr>
        <w:pStyle w:val="BodyTextFirstIndent"/>
      </w:pPr>
      <w:r>
        <w:t xml:space="preserve">It would be comforting to </w:t>
      </w:r>
      <w:r w:rsidR="00F57049">
        <w:t>believe</w:t>
      </w:r>
      <w:r>
        <w:t xml:space="preserve"> that active media </w:t>
      </w:r>
      <w:r w:rsidR="006324BC" w:rsidRPr="006324BC">
        <w:t>intervention</w:t>
      </w:r>
      <w:r>
        <w:t xml:space="preserve"> in important press freedom cases is the rule.  Sadly, however, it is the exception.  The media community is consistently indifferent to exercising its right and its opportunity to participate in Strasbourg cases involving freedom of expression.</w:t>
      </w:r>
    </w:p>
    <w:p w:rsidR="006324BC" w:rsidRDefault="006324BC" w:rsidP="006324BC">
      <w:pPr>
        <w:pStyle w:val="BodyText"/>
      </w:pPr>
      <w:r w:rsidRPr="006324BC">
        <w:rPr>
          <w:b/>
        </w:rPr>
        <w:lastRenderedPageBreak/>
        <w:t>Indifference to Intervention</w:t>
      </w:r>
    </w:p>
    <w:p w:rsidR="00F57049" w:rsidRDefault="00034FF4" w:rsidP="00F57049">
      <w:pPr>
        <w:pStyle w:val="BodyTextFirstIndent"/>
      </w:pPr>
      <w:r>
        <w:t xml:space="preserve">This will show the depth of that apathy.  The </w:t>
      </w:r>
      <w:r w:rsidR="00F57049">
        <w:t>ECHR decided over 1,000 cases involving Article 10, the European Convention provision guaranteeing freedom of expression.</w:t>
      </w:r>
      <w:r w:rsidR="0063031F">
        <w:t xml:space="preserve"> </w:t>
      </w:r>
      <w:r w:rsidR="00F57049">
        <w:t xml:space="preserve"> Between 1986 and 2013, however, when the Court decided many hundreds of such cases, NGOs intervened and submitted amicus curiae briefs in </w:t>
      </w:r>
      <w:r w:rsidR="00E01477">
        <w:t xml:space="preserve">fewer </w:t>
      </w:r>
      <w:r w:rsidR="00F57049">
        <w:t>than 30 cases</w:t>
      </w:r>
      <w:r w:rsidR="0063031F">
        <w:t xml:space="preserve">.  </w:t>
      </w:r>
      <w:r w:rsidR="001B3E6F">
        <w:t>In those years, the Court's record was generally supportive of free expression.  S</w:t>
      </w:r>
      <w:r w:rsidR="00F57049">
        <w:t>ignificantly, when NGOs did intervene, the media was victorious over 70% of the time.</w:t>
      </w:r>
      <w:r w:rsidR="001B3E6F">
        <w:rPr>
          <w:rStyle w:val="FootnoteReference"/>
        </w:rPr>
        <w:footnoteReference w:id="3"/>
      </w:r>
      <w:r w:rsidR="00F57049">
        <w:t xml:space="preserve">  One case illustrates the powe</w:t>
      </w:r>
      <w:r w:rsidR="001B3E6F">
        <w:t>rf</w:t>
      </w:r>
      <w:r w:rsidR="00F57049">
        <w:t>ul and wide</w:t>
      </w:r>
      <w:r w:rsidR="001B3E6F">
        <w:t xml:space="preserve"> </w:t>
      </w:r>
      <w:r w:rsidR="00F57049">
        <w:t>ranging impact that a competently written amicus brief can have.</w:t>
      </w:r>
    </w:p>
    <w:p w:rsidR="00034FF4" w:rsidRDefault="00F57049" w:rsidP="00F57049">
      <w:pPr>
        <w:pStyle w:val="BodyTextFirstIndent"/>
      </w:pPr>
      <w:r>
        <w:t>A group of Russian local public officials sent a letter to the presidential envoy complaining that the management</w:t>
      </w:r>
      <w:r w:rsidR="001B3E6F">
        <w:t xml:space="preserve"> </w:t>
      </w:r>
      <w:r>
        <w:t>department of the Russian Supreme Court in the region was engaged in irregularities in the sale of timber</w:t>
      </w:r>
      <w:r w:rsidR="0063031F">
        <w:t xml:space="preserve">.  </w:t>
      </w:r>
      <w:r>
        <w:t>A local</w:t>
      </w:r>
      <w:r w:rsidR="001B3E6F">
        <w:t xml:space="preserve"> </w:t>
      </w:r>
      <w:r>
        <w:t>newspaper published the written complaint verbatim</w:t>
      </w:r>
      <w:r w:rsidR="0063031F">
        <w:t xml:space="preserve">.  </w:t>
      </w:r>
      <w:r>
        <w:t>The management department of the court sued the newspaper</w:t>
      </w:r>
      <w:r w:rsidR="001B3E6F">
        <w:t xml:space="preserve"> </w:t>
      </w:r>
      <w:r>
        <w:t>for defamation</w:t>
      </w:r>
      <w:r w:rsidR="0063031F">
        <w:t xml:space="preserve">.  </w:t>
      </w:r>
      <w:r>
        <w:t xml:space="preserve">The trial </w:t>
      </w:r>
      <w:r w:rsidR="00E01477">
        <w:t xml:space="preserve">court </w:t>
      </w:r>
      <w:r>
        <w:t>held that the newspaper failed to verify the information in the complaint, found for the</w:t>
      </w:r>
      <w:r w:rsidR="001B3E6F">
        <w:t xml:space="preserve"> </w:t>
      </w:r>
      <w:r>
        <w:t>management department, and assessed damages of 15,000 roubles</w:t>
      </w:r>
      <w:r w:rsidR="0063031F">
        <w:t xml:space="preserve">.  </w:t>
      </w:r>
      <w:r>
        <w:t>Appellate courts upheld the trial court.</w:t>
      </w:r>
    </w:p>
    <w:p w:rsidR="00B903DD" w:rsidRDefault="00223A63" w:rsidP="001B3E6F">
      <w:pPr>
        <w:pStyle w:val="BodyTextFirstIndent"/>
      </w:pPr>
      <w:r>
        <w:t xml:space="preserve">The newspaper filed an application with the ECHR.  </w:t>
      </w:r>
      <w:r w:rsidR="001B3E6F">
        <w:t>A Russian</w:t>
      </w:r>
      <w:r>
        <w:t xml:space="preserve"> media NGO</w:t>
      </w:r>
      <w:r w:rsidR="00E01477">
        <w:t>,</w:t>
      </w:r>
      <w:r>
        <w:t xml:space="preserve"> Moscow Media Law and Policy Institute and Open S</w:t>
      </w:r>
      <w:r w:rsidR="001B3E6F">
        <w:t>ociety Justice Initiative as interven</w:t>
      </w:r>
      <w:r>
        <w:t>e</w:t>
      </w:r>
      <w:r w:rsidR="001B3E6F">
        <w:t>rs</w:t>
      </w:r>
      <w:r w:rsidR="00E01477">
        <w:t>,</w:t>
      </w:r>
      <w:r w:rsidR="001B3E6F">
        <w:t xml:space="preserve"> requested perm</w:t>
      </w:r>
      <w:r>
        <w:t>i</w:t>
      </w:r>
      <w:r w:rsidR="001B3E6F">
        <w:t>ss</w:t>
      </w:r>
      <w:r>
        <w:t>i</w:t>
      </w:r>
      <w:r w:rsidR="001B3E6F">
        <w:t>on to file an am</w:t>
      </w:r>
      <w:r w:rsidR="00FB0BD0">
        <w:t>icus</w:t>
      </w:r>
      <w:r>
        <w:t xml:space="preserve"> curiae</w:t>
      </w:r>
      <w:r w:rsidR="001B3E6F">
        <w:t xml:space="preserve"> brief</w:t>
      </w:r>
      <w:r>
        <w:t xml:space="preserve">.  The Court granted permission, and </w:t>
      </w:r>
      <w:r w:rsidR="00E01477">
        <w:t xml:space="preserve">pro bono </w:t>
      </w:r>
      <w:r>
        <w:t>media lawyers</w:t>
      </w:r>
      <w:r w:rsidR="001B3E6F">
        <w:t xml:space="preserve"> from International Senior Lawyers Project wrote and su</w:t>
      </w:r>
      <w:r>
        <w:t>bmitted the brief</w:t>
      </w:r>
      <w:r w:rsidR="00B42C9D">
        <w:t xml:space="preserve"> supporting the applicants.  The IS</w:t>
      </w:r>
      <w:r w:rsidR="001B3E6F">
        <w:t>LP brief thoroughly surveyed decisions from the highest courts of major democraci</w:t>
      </w:r>
      <w:r w:rsidR="00B42C9D">
        <w:t>e</w:t>
      </w:r>
      <w:r w:rsidR="001B3E6F">
        <w:t>s</w:t>
      </w:r>
      <w:r w:rsidR="00B42C9D">
        <w:t>, all of which</w:t>
      </w:r>
      <w:r>
        <w:t xml:space="preserve"> </w:t>
      </w:r>
      <w:r w:rsidR="001B3E6F">
        <w:t>protected news reports of this kind</w:t>
      </w:r>
      <w:r w:rsidR="00B42C9D">
        <w:t xml:space="preserve">. </w:t>
      </w:r>
      <w:r w:rsidR="001B3E6F">
        <w:t xml:space="preserve"> Citing and relying heavily on the ISLP amici brief, the Court foun</w:t>
      </w:r>
      <w:r w:rsidR="00B42C9D">
        <w:t>d</w:t>
      </w:r>
      <w:r w:rsidR="001B3E6F">
        <w:t xml:space="preserve"> </w:t>
      </w:r>
      <w:r w:rsidR="00B42C9D">
        <w:t xml:space="preserve">in favor of the newspaper </w:t>
      </w:r>
      <w:r w:rsidR="001B3E6F">
        <w:t>and directed the Russia</w:t>
      </w:r>
      <w:r w:rsidR="00E01477">
        <w:t>n</w:t>
      </w:r>
      <w:r w:rsidR="001B3E6F">
        <w:t xml:space="preserve"> government to pay it 3,260 Euros</w:t>
      </w:r>
      <w:r w:rsidR="0063031F">
        <w:t xml:space="preserve">.  </w:t>
      </w:r>
      <w:r w:rsidR="001B3E6F">
        <w:t>Importantly, the ECHR held for</w:t>
      </w:r>
      <w:r w:rsidR="00B42C9D">
        <w:t xml:space="preserve"> </w:t>
      </w:r>
      <w:r w:rsidR="001B3E6F">
        <w:t>t</w:t>
      </w:r>
      <w:r w:rsidR="00B42C9D">
        <w:t>h</w:t>
      </w:r>
      <w:r w:rsidR="001B3E6F">
        <w:t xml:space="preserve">e </w:t>
      </w:r>
      <w:r w:rsidR="00B42C9D">
        <w:t>f</w:t>
      </w:r>
      <w:r w:rsidR="001B3E6F">
        <w:t>irst ti</w:t>
      </w:r>
      <w:r w:rsidR="00B42C9D">
        <w:t>m</w:t>
      </w:r>
      <w:r w:rsidR="001B3E6F">
        <w:t>e</w:t>
      </w:r>
      <w:r>
        <w:t xml:space="preserve"> </w:t>
      </w:r>
      <w:r w:rsidR="001B3E6F">
        <w:t xml:space="preserve">that </w:t>
      </w:r>
      <w:r w:rsidR="00BE6E52">
        <w:t>Article </w:t>
      </w:r>
      <w:r w:rsidR="00B42C9D">
        <w:t>1</w:t>
      </w:r>
      <w:r w:rsidR="001B3E6F">
        <w:t xml:space="preserve">0 protects a newspaper's fair and accurate report of non-confidential official </w:t>
      </w:r>
      <w:r w:rsidR="00B903DD">
        <w:t>document</w:t>
      </w:r>
      <w:r w:rsidR="00E01477">
        <w:t>s</w:t>
      </w:r>
      <w:r w:rsidR="00B903DD">
        <w:t xml:space="preserve">. </w:t>
      </w:r>
      <w:r w:rsidR="007C3F25">
        <w:t xml:space="preserve"> </w:t>
      </w:r>
      <w:r w:rsidR="00B903DD" w:rsidRPr="00BE6E52">
        <w:rPr>
          <w:u w:val="single"/>
        </w:rPr>
        <w:t>Romanenko v. Russia</w:t>
      </w:r>
      <w:r w:rsidR="001B3E6F">
        <w:t>.</w:t>
      </w:r>
      <w:r w:rsidR="00B903DD">
        <w:rPr>
          <w:rStyle w:val="FootnoteReference"/>
        </w:rPr>
        <w:footnoteReference w:id="4"/>
      </w:r>
      <w:r w:rsidR="00B903DD">
        <w:t xml:space="preserve"> </w:t>
      </w:r>
      <w:r w:rsidR="001B3E6F">
        <w:t xml:space="preserve"> Eight months later, the Russian Supreme Court adopted a </w:t>
      </w:r>
      <w:r w:rsidR="00E01477">
        <w:t xml:space="preserve">resolution </w:t>
      </w:r>
      <w:r w:rsidR="00B903DD">
        <w:t>which declared</w:t>
      </w:r>
      <w:r w:rsidR="001B3E6F">
        <w:t xml:space="preserve"> for the first time that Russian media law will protect the media's fair and accurate reports of non</w:t>
      </w:r>
      <w:r w:rsidR="00B903DD">
        <w:t>-</w:t>
      </w:r>
      <w:r w:rsidR="001B3E6F">
        <w:t>confidential</w:t>
      </w:r>
      <w:r>
        <w:t xml:space="preserve"> </w:t>
      </w:r>
      <w:r w:rsidR="001B3E6F">
        <w:t>official documents</w:t>
      </w:r>
      <w:r w:rsidR="0063031F">
        <w:t xml:space="preserve">.  </w:t>
      </w:r>
      <w:r w:rsidR="001B3E6F">
        <w:t xml:space="preserve">The </w:t>
      </w:r>
      <w:r w:rsidR="00E01477">
        <w:t xml:space="preserve">resolution </w:t>
      </w:r>
      <w:r w:rsidR="001B3E6F">
        <w:t xml:space="preserve">thus adopted as a matter of Russian law the ruling issued </w:t>
      </w:r>
      <w:r w:rsidR="00BE6E52">
        <w:t>8</w:t>
      </w:r>
      <w:r w:rsidR="001B3E6F">
        <w:t xml:space="preserve"> months</w:t>
      </w:r>
      <w:r>
        <w:t xml:space="preserve"> </w:t>
      </w:r>
      <w:r w:rsidR="001B3E6F">
        <w:t>earlier by the ECHR</w:t>
      </w:r>
      <w:r w:rsidR="0063031F">
        <w:t xml:space="preserve">.  </w:t>
      </w:r>
      <w:r w:rsidR="001B3E6F">
        <w:t>It is unmistakable that the ISLP amici brief for the two NGOs was crucial in creating this newly won</w:t>
      </w:r>
      <w:r>
        <w:t xml:space="preserve"> </w:t>
      </w:r>
      <w:r w:rsidR="001B3E6F">
        <w:t>press freedom.</w:t>
      </w:r>
      <w:r>
        <w:t xml:space="preserve"> </w:t>
      </w:r>
    </w:p>
    <w:p w:rsidR="006324BC" w:rsidRPr="006324BC" w:rsidRDefault="006324BC" w:rsidP="006324BC">
      <w:pPr>
        <w:pStyle w:val="BodyText"/>
        <w:rPr>
          <w:b/>
        </w:rPr>
      </w:pPr>
      <w:r>
        <w:rPr>
          <w:b/>
        </w:rPr>
        <w:t>Why Amici Briefs</w:t>
      </w:r>
    </w:p>
    <w:p w:rsidR="00B903DD" w:rsidRDefault="001B3E6F" w:rsidP="001B3E6F">
      <w:pPr>
        <w:pStyle w:val="BodyTextFirstIndent"/>
      </w:pPr>
      <w:r>
        <w:t xml:space="preserve">The </w:t>
      </w:r>
      <w:r w:rsidRPr="00E01477">
        <w:rPr>
          <w:u w:val="single"/>
        </w:rPr>
        <w:t>Romanenko</w:t>
      </w:r>
      <w:r>
        <w:t xml:space="preserve"> case is no exception to the rule that amici briefs regularly play a major role in affecting how judges</w:t>
      </w:r>
      <w:r w:rsidR="00223A63">
        <w:t xml:space="preserve"> </w:t>
      </w:r>
      <w:r>
        <w:t>rule</w:t>
      </w:r>
      <w:r w:rsidR="0063031F">
        <w:t xml:space="preserve">.  </w:t>
      </w:r>
      <w:r>
        <w:t xml:space="preserve">They provide important information to the </w:t>
      </w:r>
      <w:r w:rsidR="00E01477">
        <w:t xml:space="preserve">court </w:t>
      </w:r>
      <w:r>
        <w:t>that the parties overlooked</w:t>
      </w:r>
      <w:r w:rsidR="0063031F">
        <w:t xml:space="preserve">.  </w:t>
      </w:r>
      <w:r>
        <w:t>They cite relevant precedents of</w:t>
      </w:r>
      <w:r w:rsidR="00223A63">
        <w:t xml:space="preserve"> </w:t>
      </w:r>
      <w:r>
        <w:t xml:space="preserve">both the </w:t>
      </w:r>
      <w:r w:rsidR="00E01477">
        <w:t xml:space="preserve">court </w:t>
      </w:r>
      <w:r>
        <w:t>and the highest courts of prominent democracies</w:t>
      </w:r>
      <w:r w:rsidR="0063031F">
        <w:t xml:space="preserve">.  </w:t>
      </w:r>
      <w:r>
        <w:t>They show whether there exists an international</w:t>
      </w:r>
      <w:r w:rsidR="00223A63">
        <w:t xml:space="preserve"> </w:t>
      </w:r>
      <w:r>
        <w:t>consensus</w:t>
      </w:r>
      <w:r w:rsidR="0063031F">
        <w:t xml:space="preserve">.  </w:t>
      </w:r>
      <w:r>
        <w:t>They describe the public interest in the case, and its broader consequences</w:t>
      </w:r>
      <w:r w:rsidR="0063031F">
        <w:t xml:space="preserve">.  </w:t>
      </w:r>
      <w:r>
        <w:t>Where the applicant's</w:t>
      </w:r>
      <w:r w:rsidR="00223A63">
        <w:t xml:space="preserve"> </w:t>
      </w:r>
      <w:r>
        <w:t>presentation is legally deficient, as is sometimes the case in some transitional democracies in Eurasia, amici briefs can</w:t>
      </w:r>
      <w:r w:rsidR="00223A63">
        <w:t xml:space="preserve"> </w:t>
      </w:r>
      <w:r>
        <w:t>overcome those deficiencies.</w:t>
      </w:r>
      <w:r w:rsidR="00223A63">
        <w:t xml:space="preserve"> </w:t>
      </w:r>
    </w:p>
    <w:p w:rsidR="00B903DD" w:rsidRDefault="001B3E6F" w:rsidP="001B3E6F">
      <w:pPr>
        <w:pStyle w:val="BodyTextFirstIndent"/>
      </w:pPr>
      <w:r>
        <w:t>For these reasons, judges look to and often rely upon professionally crafted amici briefs from responsible</w:t>
      </w:r>
      <w:r w:rsidR="00223A63">
        <w:t xml:space="preserve"> </w:t>
      </w:r>
      <w:r>
        <w:t>organizations</w:t>
      </w:r>
      <w:r w:rsidR="0063031F">
        <w:t xml:space="preserve">.  </w:t>
      </w:r>
      <w:r>
        <w:t xml:space="preserve">The </w:t>
      </w:r>
      <w:r w:rsidR="00E01477">
        <w:t xml:space="preserve">court </w:t>
      </w:r>
      <w:r>
        <w:t>frequently refers to amicus briefs in its judgments</w:t>
      </w:r>
      <w:r w:rsidR="0063031F">
        <w:t xml:space="preserve">.  </w:t>
      </w:r>
      <w:r>
        <w:t>More than one ECHR judge has stated that</w:t>
      </w:r>
      <w:r w:rsidR="00223A63">
        <w:t xml:space="preserve"> </w:t>
      </w:r>
      <w:r>
        <w:t>such briefs are welcome and needed to assist the Court</w:t>
      </w:r>
      <w:r w:rsidR="0063031F">
        <w:t xml:space="preserve">.  </w:t>
      </w:r>
      <w:r>
        <w:t>The U.S. Supreme Court is notably reliant upon amicus</w:t>
      </w:r>
      <w:r w:rsidR="00223A63">
        <w:t xml:space="preserve"> </w:t>
      </w:r>
      <w:r>
        <w:t xml:space="preserve">briefs. </w:t>
      </w:r>
      <w:r w:rsidR="00192F8E">
        <w:t xml:space="preserve"> </w:t>
      </w:r>
      <w:r>
        <w:t xml:space="preserve">In the 2012-2013 term, amicus briefs were filed in almost 76% of the cases before that </w:t>
      </w:r>
      <w:r w:rsidR="007841EB">
        <w:t>Court</w:t>
      </w:r>
      <w:r>
        <w:t xml:space="preserve">. </w:t>
      </w:r>
      <w:r w:rsidR="00CF489F">
        <w:t xml:space="preserve"> </w:t>
      </w:r>
      <w:r>
        <w:t>In the 2010-2011</w:t>
      </w:r>
      <w:r w:rsidR="00223A63">
        <w:t xml:space="preserve"> </w:t>
      </w:r>
      <w:r>
        <w:t>term, an average of 9 amicus briefs were filed in each case</w:t>
      </w:r>
      <w:r w:rsidR="007D75EB">
        <w:t xml:space="preserve">.  </w:t>
      </w:r>
      <w:r>
        <w:t>In that term, 63% of the Supreme Court decisions cited</w:t>
      </w:r>
      <w:r w:rsidR="00223A63">
        <w:t xml:space="preserve"> </w:t>
      </w:r>
      <w:r>
        <w:t xml:space="preserve">references to amicus briefs. </w:t>
      </w:r>
      <w:r w:rsidR="00FB0BD0">
        <w:t xml:space="preserve"> </w:t>
      </w:r>
      <w:r>
        <w:t>Justice Stephen Breyer stated that amicus briefs "play an important role in educating</w:t>
      </w:r>
      <w:r w:rsidR="00223A63">
        <w:t xml:space="preserve"> </w:t>
      </w:r>
      <w:r>
        <w:t>judges on potentially relevant technical matters, helping to make us not experts but educated lay persons and thereby</w:t>
      </w:r>
      <w:r w:rsidR="00223A63">
        <w:t xml:space="preserve"> </w:t>
      </w:r>
      <w:r>
        <w:t>helping to improve the quality of our decisions." Justice Samuel</w:t>
      </w:r>
      <w:r w:rsidR="007C3F25">
        <w:t xml:space="preserve"> Alito agrees, observing that "[</w:t>
      </w:r>
      <w:r>
        <w:t>e</w:t>
      </w:r>
      <w:r w:rsidR="007C3F25">
        <w:t>]</w:t>
      </w:r>
      <w:r>
        <w:t>ven when a party is</w:t>
      </w:r>
      <w:r w:rsidR="00223A63">
        <w:t xml:space="preserve"> </w:t>
      </w:r>
      <w:r>
        <w:t>very well represented, an amicus brief may provide important assistance to the court .</w:t>
      </w:r>
      <w:r w:rsidR="0063031F">
        <w:t xml:space="preserve"> </w:t>
      </w:r>
      <w:r>
        <w:t>.</w:t>
      </w:r>
      <w:r w:rsidR="0063031F">
        <w:t xml:space="preserve"> </w:t>
      </w:r>
      <w:r>
        <w:t xml:space="preserve">. </w:t>
      </w:r>
      <w:r w:rsidR="007C3F25">
        <w:t>[</w:t>
      </w:r>
      <w:r>
        <w:t>by</w:t>
      </w:r>
      <w:r w:rsidR="007C3F25">
        <w:t>]</w:t>
      </w:r>
      <w:r>
        <w:t xml:space="preserve"> collect</w:t>
      </w:r>
      <w:r w:rsidR="00483B7E">
        <w:t>[</w:t>
      </w:r>
      <w:r>
        <w:t>ing</w:t>
      </w:r>
      <w:r w:rsidR="007C3F25">
        <w:t>]</w:t>
      </w:r>
      <w:r>
        <w:t xml:space="preserve"> background or</w:t>
      </w:r>
      <w:r w:rsidR="00223A63">
        <w:t xml:space="preserve"> </w:t>
      </w:r>
      <w:r>
        <w:t>factual references that merit judicial notice.</w:t>
      </w:r>
      <w:r w:rsidR="00B903DD">
        <w:t>"</w:t>
      </w:r>
    </w:p>
    <w:p w:rsidR="009B1EEA" w:rsidRPr="009B1EEA" w:rsidRDefault="009B1EEA" w:rsidP="009B1EEA">
      <w:pPr>
        <w:pStyle w:val="BodyText"/>
        <w:rPr>
          <w:b/>
        </w:rPr>
      </w:pPr>
      <w:r>
        <w:rPr>
          <w:b/>
        </w:rPr>
        <w:t>Media Amici in the U.S.</w:t>
      </w:r>
    </w:p>
    <w:p w:rsidR="00B903DD" w:rsidRDefault="001B3E6F" w:rsidP="001B3E6F">
      <w:pPr>
        <w:pStyle w:val="BodyTextFirstIndent"/>
      </w:pPr>
      <w:r>
        <w:t>Media outlets and NGOs in the U.S are robust participants in and beneficiaries of this system</w:t>
      </w:r>
      <w:r w:rsidR="0063031F">
        <w:t xml:space="preserve">.  </w:t>
      </w:r>
      <w:r>
        <w:t>Up to 2007, the Supreme</w:t>
      </w:r>
      <w:r w:rsidR="00223A63">
        <w:t xml:space="preserve"> </w:t>
      </w:r>
      <w:r>
        <w:t>Court decided 100 cases in which mainstream media institutions played a direct role as parties or amici</w:t>
      </w:r>
      <w:r w:rsidR="0063031F">
        <w:t xml:space="preserve">.  </w:t>
      </w:r>
      <w:r>
        <w:t>The most</w:t>
      </w:r>
      <w:r w:rsidR="00223A63">
        <w:t xml:space="preserve"> </w:t>
      </w:r>
      <w:r>
        <w:t>active 16 of those entities, such as major daily newspapers, broadcast networks, and publishers' or journalists'</w:t>
      </w:r>
      <w:r w:rsidR="00223A63">
        <w:t xml:space="preserve"> </w:t>
      </w:r>
      <w:r>
        <w:t>associations</w:t>
      </w:r>
      <w:r w:rsidR="00E01477">
        <w:t>,</w:t>
      </w:r>
      <w:r>
        <w:t xml:space="preserve"> submitted a total of 306 amici briefs in those cases</w:t>
      </w:r>
      <w:r w:rsidR="0063031F">
        <w:t xml:space="preserve">.  </w:t>
      </w:r>
      <w:r>
        <w:t>Amici briefs are frequently highly consequential</w:t>
      </w:r>
      <w:r w:rsidR="0063031F">
        <w:t xml:space="preserve">.  </w:t>
      </w:r>
      <w:r>
        <w:t>The New York Times, and the whole of the media, faced a crucial juncture when the court was deciding what became the</w:t>
      </w:r>
      <w:r w:rsidR="00223A63">
        <w:t xml:space="preserve"> </w:t>
      </w:r>
      <w:r w:rsidR="00B903DD">
        <w:t>famo</w:t>
      </w:r>
      <w:r>
        <w:t xml:space="preserve">us </w:t>
      </w:r>
      <w:r w:rsidR="00B903DD">
        <w:t>d</w:t>
      </w:r>
      <w:r>
        <w:t>e</w:t>
      </w:r>
      <w:r w:rsidR="00B903DD">
        <w:t>f</w:t>
      </w:r>
      <w:r>
        <w:t xml:space="preserve">amation case of </w:t>
      </w:r>
      <w:r w:rsidRPr="00483B7E">
        <w:rPr>
          <w:u w:val="single"/>
        </w:rPr>
        <w:t xml:space="preserve">New </w:t>
      </w:r>
      <w:r w:rsidR="00B903DD" w:rsidRPr="00483B7E">
        <w:rPr>
          <w:u w:val="single"/>
        </w:rPr>
        <w:t>Y</w:t>
      </w:r>
      <w:r w:rsidRPr="00483B7E">
        <w:rPr>
          <w:u w:val="single"/>
        </w:rPr>
        <w:t>or</w:t>
      </w:r>
      <w:r w:rsidR="00B903DD" w:rsidRPr="00483B7E">
        <w:rPr>
          <w:u w:val="single"/>
        </w:rPr>
        <w:t>k T</w:t>
      </w:r>
      <w:r w:rsidRPr="00483B7E">
        <w:rPr>
          <w:u w:val="single"/>
        </w:rPr>
        <w:t>imes Co. v. Sul</w:t>
      </w:r>
      <w:r w:rsidR="00B903DD" w:rsidRPr="00483B7E">
        <w:rPr>
          <w:u w:val="single"/>
        </w:rPr>
        <w:t>l</w:t>
      </w:r>
      <w:r w:rsidRPr="00483B7E">
        <w:rPr>
          <w:u w:val="single"/>
        </w:rPr>
        <w:t>ivan</w:t>
      </w:r>
      <w:r w:rsidR="00B903DD">
        <w:t>.</w:t>
      </w:r>
      <w:r w:rsidR="00B903DD">
        <w:rPr>
          <w:rStyle w:val="FootnoteReference"/>
        </w:rPr>
        <w:footnoteReference w:id="5"/>
      </w:r>
      <w:r w:rsidR="00B903DD">
        <w:t xml:space="preserve"> </w:t>
      </w:r>
      <w:r>
        <w:t xml:space="preserve"> The amicus brief filed by a competitor, the Washington</w:t>
      </w:r>
      <w:r w:rsidR="00223A63">
        <w:t xml:space="preserve"> </w:t>
      </w:r>
      <w:r>
        <w:t>Post, emphasized a novel argument that the Times had bypassed</w:t>
      </w:r>
      <w:r w:rsidR="0063031F">
        <w:t xml:space="preserve">.  </w:t>
      </w:r>
      <w:r>
        <w:t>The Supreme Court adopted the reasoning of the</w:t>
      </w:r>
      <w:r w:rsidR="00223A63">
        <w:t xml:space="preserve"> </w:t>
      </w:r>
      <w:r>
        <w:t>Post's amicus brief to create the famous "actual malice" standard</w:t>
      </w:r>
      <w:r w:rsidR="0063031F">
        <w:t xml:space="preserve">.  </w:t>
      </w:r>
      <w:r>
        <w:t>It is not unusual to find scores of media outlets and</w:t>
      </w:r>
      <w:r w:rsidR="00223A63">
        <w:t xml:space="preserve"> </w:t>
      </w:r>
      <w:r>
        <w:t>NGOs joining each of several media amici briefs in every Supreme Court case involving freedom of expression</w:t>
      </w:r>
      <w:r w:rsidR="0063031F">
        <w:t xml:space="preserve">.  </w:t>
      </w:r>
      <w:r>
        <w:t>As</w:t>
      </w:r>
      <w:r w:rsidR="00223A63">
        <w:t xml:space="preserve"> </w:t>
      </w:r>
      <w:r>
        <w:t>diverse as they are, the U.S media are united in the commitment that it is absolutely necessary for all to litigate</w:t>
      </w:r>
      <w:r w:rsidR="00223A63">
        <w:t xml:space="preserve"> </w:t>
      </w:r>
      <w:r>
        <w:t>vigorously and voluntarily to protect the freedom of expression for all.</w:t>
      </w:r>
      <w:r w:rsidR="00223A63">
        <w:t xml:space="preserve"> </w:t>
      </w:r>
    </w:p>
    <w:p w:rsidR="001B3E6F" w:rsidRDefault="001B3E6F" w:rsidP="001B3E6F">
      <w:pPr>
        <w:pStyle w:val="BodyTextFirstIndent"/>
      </w:pPr>
      <w:r>
        <w:t>It would be an understatement to conclude that a strong correlation exists between this robust participation of the</w:t>
      </w:r>
      <w:r w:rsidR="00223A63">
        <w:t xml:space="preserve"> </w:t>
      </w:r>
      <w:r>
        <w:t>media community in Supreme Court cases on freedom of expression, on the one hand, and the thick protective shield</w:t>
      </w:r>
      <w:r w:rsidR="00223A63">
        <w:t xml:space="preserve"> </w:t>
      </w:r>
      <w:r>
        <w:t>which that court has clothed freedom of expression, on the other hand.</w:t>
      </w:r>
    </w:p>
    <w:p w:rsidR="00B42C9D" w:rsidRDefault="00B42C9D" w:rsidP="001B3E6F">
      <w:pPr>
        <w:pStyle w:val="BodyTextFirstIndent"/>
      </w:pPr>
      <w:r>
        <w:t xml:space="preserve">How U.S. media organizations and their lawyers produce the quality and quantity of their </w:t>
      </w:r>
      <w:r w:rsidR="002D7695">
        <w:t>amici curiae briefs offers a model that might be reproduced elsewhere.</w:t>
      </w:r>
    </w:p>
    <w:p w:rsidR="00483B7E" w:rsidRDefault="002D7695" w:rsidP="002D7695">
      <w:pPr>
        <w:pStyle w:val="BodyTextFirstIndent"/>
      </w:pPr>
      <w:r w:rsidRPr="00483B7E">
        <w:rPr>
          <w:u w:val="single"/>
        </w:rPr>
        <w:t>Ba</w:t>
      </w:r>
      <w:r w:rsidR="00CF489F">
        <w:rPr>
          <w:u w:val="single"/>
        </w:rPr>
        <w:t>rt</w:t>
      </w:r>
      <w:r w:rsidRPr="00483B7E">
        <w:rPr>
          <w:u w:val="single"/>
        </w:rPr>
        <w:t>nicki v. Vopper</w:t>
      </w:r>
      <w:r w:rsidR="00E01477">
        <w:rPr>
          <w:rStyle w:val="FootnoteReference"/>
        </w:rPr>
        <w:footnoteReference w:id="6"/>
      </w:r>
      <w:r>
        <w:t xml:space="preserve"> provides a useful example.</w:t>
      </w:r>
      <w:r w:rsidR="00772981">
        <w:t xml:space="preserve"> </w:t>
      </w:r>
      <w:r>
        <w:t xml:space="preserve"> A small town radio broadcaster, Vopper aired a tape recording of a private phone conversation between two teachers' union officials who discussed using violent methods to accomplish their collective bargaining goals. </w:t>
      </w:r>
      <w:r w:rsidR="00772981">
        <w:t xml:space="preserve"> </w:t>
      </w:r>
      <w:r>
        <w:t>The law clearly criminalized such use of recordings</w:t>
      </w:r>
      <w:r w:rsidR="0063031F">
        <w:t xml:space="preserve">.  </w:t>
      </w:r>
      <w:r>
        <w:t xml:space="preserve">Relying on that law the union officials sued Vopper demanding damages for invasion of their privacy. </w:t>
      </w:r>
      <w:r w:rsidR="00772981">
        <w:t xml:space="preserve"> </w:t>
      </w:r>
      <w:r>
        <w:t xml:space="preserve">Vopper showed that an unknown person made the illegal recording, left it for Yocum, who gave the tape to Vopper for broadcast.  Vopper, who was not complicit in the illegal taping, aired the recording knowing that it was the product of an illegal act.  </w:t>
      </w:r>
    </w:p>
    <w:p w:rsidR="00772981" w:rsidRDefault="002D7695" w:rsidP="002D7695">
      <w:pPr>
        <w:pStyle w:val="BodyTextFirstIndent"/>
      </w:pPr>
      <w:r>
        <w:t xml:space="preserve">When the case was about to reach the U.S. Supreme Court, scores of lawyers in the media bar and many news executives correctly recognized the peril if the Court were to hold that the First Amendment did not protect this broadcast. </w:t>
      </w:r>
      <w:r w:rsidR="00772981">
        <w:t xml:space="preserve"> </w:t>
      </w:r>
      <w:r>
        <w:t xml:space="preserve">Such a ruling would have far-reaching and very negative consequences on investigative reporting. </w:t>
      </w:r>
    </w:p>
    <w:p w:rsidR="002D7695" w:rsidRDefault="002D7695" w:rsidP="002D7695">
      <w:pPr>
        <w:pStyle w:val="BodyTextFirstIndent"/>
      </w:pPr>
      <w:r>
        <w:t xml:space="preserve">It was a matter of necessity to undertake a major legal effort to convince the Court not to diminish the right of the media to publish accurate information of public interest and concern where the information had been obtained in this fashion. </w:t>
      </w:r>
      <w:r w:rsidR="00772981">
        <w:t xml:space="preserve"> </w:t>
      </w:r>
      <w:r>
        <w:t xml:space="preserve">What resulted was the filing of three amici curiae briefs, among others, by Dow Jones Company, the American Civil Liberties Union, and a coalition of </w:t>
      </w:r>
      <w:r w:rsidR="00E01477">
        <w:t>22</w:t>
      </w:r>
      <w:r>
        <w:t xml:space="preserve"> media organizations and related non-profits.</w:t>
      </w:r>
      <w:r w:rsidR="00772981">
        <w:t xml:space="preserve"> </w:t>
      </w:r>
      <w:r>
        <w:t xml:space="preserve"> The latter included nearly all major newspaper groups, most major daily newspapers, all major broadcast networks and the major media NGOs.</w:t>
      </w:r>
      <w:r w:rsidR="00772981">
        <w:t xml:space="preserve"> </w:t>
      </w:r>
      <w:r>
        <w:t xml:space="preserve"> The author of the media entities' brief was the preeminent First Amendment lawy</w:t>
      </w:r>
      <w:r w:rsidR="00772981">
        <w:t>er</w:t>
      </w:r>
      <w:r>
        <w:t xml:space="preserve"> and scholar, Floyd Abrams.</w:t>
      </w:r>
      <w:r w:rsidR="00772981">
        <w:t xml:space="preserve"> </w:t>
      </w:r>
      <w:r>
        <w:t xml:space="preserve"> No less than thirty-three other media lawyers from all over the country assisted in its preparation. </w:t>
      </w:r>
      <w:r w:rsidR="00772981">
        <w:t xml:space="preserve"> </w:t>
      </w:r>
      <w:r>
        <w:t xml:space="preserve">While the brief of thirty pages was a </w:t>
      </w:r>
      <w:r w:rsidR="00F3648E">
        <w:t>co</w:t>
      </w:r>
      <w:r>
        <w:t xml:space="preserve">llective enterprise, Abrams' voice was unmistakable. </w:t>
      </w:r>
      <w:r w:rsidR="00772981">
        <w:t xml:space="preserve"> </w:t>
      </w:r>
      <w:r>
        <w:t xml:space="preserve">Vopper's attorney, Lee Levine, was himself among the most respected media lawyers in the country. </w:t>
      </w:r>
    </w:p>
    <w:p w:rsidR="002D7695" w:rsidRDefault="002D7695" w:rsidP="002D7695">
      <w:pPr>
        <w:pStyle w:val="BodyTextFirstIndent"/>
      </w:pPr>
      <w:r>
        <w:t xml:space="preserve">What resulted was a ruling by the Court affirming the durability of the protection for the media even under such controversial circumstances.  It is reasonable to speculate that the Court might very well not have reached this result without the expert and vigorous appellate advocacy of the media </w:t>
      </w:r>
      <w:r w:rsidR="00772981">
        <w:t>organizations</w:t>
      </w:r>
      <w:r>
        <w:t>.</w:t>
      </w:r>
    </w:p>
    <w:p w:rsidR="002D7695" w:rsidRDefault="002D7695" w:rsidP="002D7695">
      <w:pPr>
        <w:pStyle w:val="BodyTextFirstIndent"/>
      </w:pPr>
      <w:r>
        <w:t xml:space="preserve">The </w:t>
      </w:r>
      <w:r w:rsidRPr="00483B7E">
        <w:rPr>
          <w:u w:val="single"/>
        </w:rPr>
        <w:t>Bar</w:t>
      </w:r>
      <w:r w:rsidR="00E01477">
        <w:rPr>
          <w:u w:val="single"/>
        </w:rPr>
        <w:t>t</w:t>
      </w:r>
      <w:r w:rsidRPr="00483B7E">
        <w:rPr>
          <w:u w:val="single"/>
        </w:rPr>
        <w:t>nicki</w:t>
      </w:r>
      <w:r>
        <w:t xml:space="preserve"> example is far from exceptional</w:t>
      </w:r>
      <w:r w:rsidR="0063031F">
        <w:t xml:space="preserve">.  </w:t>
      </w:r>
      <w:r>
        <w:t xml:space="preserve">Every year most major news organizations and NGOs write or sign on to about </w:t>
      </w:r>
      <w:r w:rsidR="00E01477">
        <w:t>30</w:t>
      </w:r>
      <w:r>
        <w:t xml:space="preserve"> different amici briefs in America's federal and state appellate courts</w:t>
      </w:r>
      <w:r w:rsidR="0063031F">
        <w:t xml:space="preserve">.  </w:t>
      </w:r>
      <w:r>
        <w:t>This will describe how these kinds of briefs arc devised, written, and financed.</w:t>
      </w:r>
    </w:p>
    <w:p w:rsidR="00772981" w:rsidRDefault="00772981" w:rsidP="00772981">
      <w:pPr>
        <w:pStyle w:val="BodyTextFirstIndent"/>
      </w:pPr>
      <w:r>
        <w:t xml:space="preserve">• </w:t>
      </w:r>
      <w:r w:rsidRPr="00772981">
        <w:rPr>
          <w:i/>
        </w:rPr>
        <w:t>First</w:t>
      </w:r>
      <w:r>
        <w:t>, the media industry and its lawyers learn of a disturbing case pending in an appellate court.</w:t>
      </w:r>
    </w:p>
    <w:p w:rsidR="00772981" w:rsidRDefault="00772981" w:rsidP="00772981">
      <w:pPr>
        <w:pStyle w:val="BodyTextFirstIndent"/>
      </w:pPr>
      <w:r>
        <w:t xml:space="preserve">• </w:t>
      </w:r>
      <w:r w:rsidRPr="00772981">
        <w:rPr>
          <w:i/>
        </w:rPr>
        <w:t>Second</w:t>
      </w:r>
      <w:r>
        <w:t>, editors, lawyers and other stakeholders confer about the best legal strategies to appear as amici.</w:t>
      </w:r>
    </w:p>
    <w:p w:rsidR="00772981" w:rsidRDefault="00772981" w:rsidP="00772981">
      <w:pPr>
        <w:pStyle w:val="BodyTextFirstIndent"/>
      </w:pPr>
      <w:r>
        <w:t xml:space="preserve">• </w:t>
      </w:r>
      <w:r w:rsidRPr="00772981">
        <w:rPr>
          <w:i/>
        </w:rPr>
        <w:t>Third</w:t>
      </w:r>
      <w:r>
        <w:t xml:space="preserve">, they reach </w:t>
      </w:r>
      <w:r w:rsidR="003964F4">
        <w:t>agreement</w:t>
      </w:r>
      <w:r>
        <w:t xml:space="preserve"> on such issues as overall strategy, choice of a leading law firm to write the brief, and the names of the media organizations which will sign on to the brief. ·</w:t>
      </w:r>
    </w:p>
    <w:p w:rsidR="00772981" w:rsidRDefault="00772981" w:rsidP="00772981">
      <w:pPr>
        <w:pStyle w:val="BodyTextFirstIndent"/>
      </w:pPr>
      <w:r>
        <w:t xml:space="preserve">• </w:t>
      </w:r>
      <w:r w:rsidRPr="00772981">
        <w:rPr>
          <w:i/>
        </w:rPr>
        <w:t>Fourth</w:t>
      </w:r>
      <w:r>
        <w:t>, they discuss the fee to be charged by the drafting firm and the share of the fee to be contributed by each organization</w:t>
      </w:r>
      <w:r w:rsidR="0063031F">
        <w:t xml:space="preserve">.  </w:t>
      </w:r>
      <w:r>
        <w:t>The typical share amounts to about $2,000.</w:t>
      </w:r>
    </w:p>
    <w:p w:rsidR="00772981" w:rsidRDefault="00772981" w:rsidP="00772981">
      <w:pPr>
        <w:pStyle w:val="BodyTextFirstIndent"/>
      </w:pPr>
      <w:r>
        <w:t xml:space="preserve">• </w:t>
      </w:r>
      <w:r w:rsidRPr="00772981">
        <w:rPr>
          <w:i/>
        </w:rPr>
        <w:t>Fifth</w:t>
      </w:r>
      <w:r>
        <w:t>, the drafting firm submits draft briefs to lawyers for each organization, confers with them, and files the brief</w:t>
      </w:r>
      <w:r w:rsidR="0063031F">
        <w:t xml:space="preserve">.  </w:t>
      </w:r>
      <w:r>
        <w:t xml:space="preserve">The briefs are of the highest </w:t>
      </w:r>
      <w:r w:rsidR="00FB0BD0">
        <w:t>quality;</w:t>
      </w:r>
      <w:r>
        <w:t xml:space="preserve"> the drafting firm achieves wide recognition, and frequently produces the brief at a substantial discount.  </w:t>
      </w:r>
    </w:p>
    <w:p w:rsidR="00772981" w:rsidRDefault="00772981" w:rsidP="00772981">
      <w:pPr>
        <w:pStyle w:val="BodyTextFirstIndent"/>
      </w:pPr>
      <w:r>
        <w:t>It is worth noting that vigorously competing media outlets routinely join coalitions</w:t>
      </w:r>
      <w:r w:rsidR="0063031F">
        <w:t xml:space="preserve">.  </w:t>
      </w:r>
      <w:r>
        <w:t>In their view, the imperative of protecting freedom of expression prevails over such competitive factors as market share, readership, editorial views, and profit margins</w:t>
      </w:r>
      <w:r w:rsidR="0063031F">
        <w:t xml:space="preserve">.  </w:t>
      </w:r>
      <w:r>
        <w:t>It is also worth noting that the most effective amici curiae briefs avoid statements or analyses of the facts in the record of the case</w:t>
      </w:r>
      <w:r w:rsidR="0063031F">
        <w:t xml:space="preserve">.  </w:t>
      </w:r>
      <w:r>
        <w:t>They avoid explicit advocacy for the rights of the media outlet which is a party</w:t>
      </w:r>
      <w:r w:rsidR="0063031F">
        <w:t xml:space="preserve">.  </w:t>
      </w:r>
      <w:r>
        <w:t>A persuasive amicus brief is just that</w:t>
      </w:r>
      <w:r w:rsidR="00BE6E52">
        <w:t xml:space="preserve">:  </w:t>
      </w:r>
      <w:r>
        <w:t>it serves to assist the court reach an outcome which is in accordance with the law and is fair and just.</w:t>
      </w:r>
    </w:p>
    <w:p w:rsidR="001F39A2" w:rsidRPr="001F39A2" w:rsidRDefault="001F39A2" w:rsidP="001F39A2">
      <w:pPr>
        <w:pStyle w:val="BodyText"/>
        <w:rPr>
          <w:b/>
        </w:rPr>
      </w:pPr>
      <w:r>
        <w:rPr>
          <w:b/>
        </w:rPr>
        <w:t xml:space="preserve">Sea Change in </w:t>
      </w:r>
      <w:r w:rsidRPr="001F39A2">
        <w:rPr>
          <w:b/>
        </w:rPr>
        <w:t>Strasbourg</w:t>
      </w:r>
    </w:p>
    <w:p w:rsidR="00772981" w:rsidRDefault="00772981" w:rsidP="00772981">
      <w:pPr>
        <w:pStyle w:val="BodyTextFirstIndent"/>
      </w:pPr>
      <w:r>
        <w:t>Returning to Strasbourg, the case for media organizations to abandon their non-</w:t>
      </w:r>
      <w:r w:rsidR="00EF01F4">
        <w:t>involvement</w:t>
      </w:r>
      <w:r>
        <w:t xml:space="preserve"> </w:t>
      </w:r>
      <w:r w:rsidR="00EF01F4">
        <w:t>a</w:t>
      </w:r>
      <w:r>
        <w:t>nd become active interveners lies in the sea change with</w:t>
      </w:r>
      <w:r w:rsidR="00EF01F4">
        <w:t>i</w:t>
      </w:r>
      <w:r>
        <w:t>n th</w:t>
      </w:r>
      <w:r w:rsidR="00EF01F4">
        <w:t>e</w:t>
      </w:r>
      <w:r>
        <w:t xml:space="preserve"> Grand Chamber</w:t>
      </w:r>
      <w:r w:rsidR="00EF01F4">
        <w:t xml:space="preserve"> in recent years.  In case after major ca</w:t>
      </w:r>
      <w:r w:rsidR="00E01477">
        <w:t>s</w:t>
      </w:r>
      <w:r w:rsidR="00EF01F4">
        <w:t>e, the highly influential Grand Chamber has decided against the media, finding no violation of Article 10.  The respected scholar, Dr. Dirk Voo</w:t>
      </w:r>
      <w:r w:rsidR="00584B70">
        <w:t>r</w:t>
      </w:r>
      <w:r w:rsidR="00EF01F4">
        <w:t>hoof of Ghent University, surveyed what he termed  "highly controversial" cases and concluded, "As has become common knowledge among 'Strasbourg observers' that the Grand Chamber of the European Court of Human Rights doesn't have the best reputation in terms of guaranteeing the right of freedom of information and expression.</w:t>
      </w:r>
      <w:r w:rsidR="00EF01F4">
        <w:rPr>
          <w:rStyle w:val="FootnoteReference"/>
        </w:rPr>
        <w:footnoteReference w:id="7"/>
      </w:r>
      <w:r w:rsidR="00E01477">
        <w:t>"</w:t>
      </w:r>
    </w:p>
    <w:p w:rsidR="00EF01F4" w:rsidRDefault="00EF01F4" w:rsidP="00772981">
      <w:pPr>
        <w:pStyle w:val="BodyTextFirstIndent"/>
      </w:pPr>
      <w:r>
        <w:t xml:space="preserve">In addition to </w:t>
      </w:r>
      <w:r w:rsidRPr="00483B7E">
        <w:rPr>
          <w:u w:val="single"/>
        </w:rPr>
        <w:t>Bedat v. Switzerland</w:t>
      </w:r>
      <w:r>
        <w:t xml:space="preserve"> described above, </w:t>
      </w:r>
      <w:r w:rsidR="00E01477">
        <w:t>among</w:t>
      </w:r>
      <w:r>
        <w:t xml:space="preserve"> other highly controversial cases criticized by Professor Voorhoof were these, where the Grand Chamber:</w:t>
      </w:r>
    </w:p>
    <w:p w:rsidR="00EF01F4" w:rsidRDefault="00EF01F4" w:rsidP="00772981">
      <w:pPr>
        <w:pStyle w:val="BodyTextFirstIndent"/>
      </w:pPr>
      <w:r>
        <w:t xml:space="preserve">• Upheld the criminal </w:t>
      </w:r>
      <w:r w:rsidR="00483B7E">
        <w:t>conviction</w:t>
      </w:r>
      <w:r>
        <w:t xml:space="preserve"> of a journalist for </w:t>
      </w:r>
      <w:r w:rsidR="00483B7E">
        <w:t>publishing</w:t>
      </w:r>
      <w:r>
        <w:t xml:space="preserve"> an accurate account of a revealing confidential report </w:t>
      </w:r>
      <w:r w:rsidR="00CF3000">
        <w:t xml:space="preserve">for the Swiss </w:t>
      </w:r>
      <w:r w:rsidR="00E01477">
        <w:t xml:space="preserve">ambassador </w:t>
      </w:r>
      <w:r w:rsidR="00CF3000">
        <w:t>handling his government</w:t>
      </w:r>
      <w:r w:rsidR="00483B7E">
        <w:t>'</w:t>
      </w:r>
      <w:r w:rsidR="00CF3000">
        <w:t xml:space="preserve">s controversial negotiations </w:t>
      </w:r>
      <w:r w:rsidR="00483B7E">
        <w:t>to</w:t>
      </w:r>
      <w:r w:rsidR="00CF3000">
        <w:t xml:space="preserve"> compensate Jewish families of Holocaust victims, surely a subject of profound public interest.  Here, </w:t>
      </w:r>
      <w:r w:rsidR="00483B7E">
        <w:t>too</w:t>
      </w:r>
      <w:r w:rsidR="00CF3000">
        <w:t xml:space="preserve">, the journalist obtained confidential document legally.  </w:t>
      </w:r>
      <w:r w:rsidR="00CF3000" w:rsidRPr="00483B7E">
        <w:rPr>
          <w:u w:val="single"/>
        </w:rPr>
        <w:t>Stoll v. Switzerland</w:t>
      </w:r>
      <w:r w:rsidR="00CF3000">
        <w:t>,</w:t>
      </w:r>
      <w:r w:rsidR="00CF3000">
        <w:rPr>
          <w:rStyle w:val="FootnoteReference"/>
        </w:rPr>
        <w:footnoteReference w:id="8"/>
      </w:r>
      <w:r w:rsidR="00CF3000">
        <w:t xml:space="preserve"> Grand Chamber, 2007</w:t>
      </w:r>
    </w:p>
    <w:p w:rsidR="00CF3000" w:rsidRDefault="00CF3000" w:rsidP="00772981">
      <w:pPr>
        <w:pStyle w:val="BodyTextFirstIndent"/>
      </w:pPr>
      <w:r>
        <w:t>• Upheld the 17.5 hour detention and criminal conviction of a journalist covering a large public demonstration who merely disobeyed a police order to leave the scene.  Four judges, including the Russian judge, vehemently dissented, criti</w:t>
      </w:r>
      <w:r w:rsidR="00F3648E">
        <w:t>c</w:t>
      </w:r>
      <w:r>
        <w:t>i</w:t>
      </w:r>
      <w:r w:rsidR="00F3648E">
        <w:t>si</w:t>
      </w:r>
      <w:r>
        <w:t xml:space="preserve">ng </w:t>
      </w:r>
      <w:r w:rsidR="00E01477">
        <w:t>the</w:t>
      </w:r>
      <w:r>
        <w:t xml:space="preserve"> majority for its failure to protect the press perform</w:t>
      </w:r>
      <w:r w:rsidR="00E01477">
        <w:t>ing</w:t>
      </w:r>
      <w:r>
        <w:t xml:space="preserve"> its watchdog role over the gov</w:t>
      </w:r>
      <w:r w:rsidR="00483B7E">
        <w:t xml:space="preserve">ernment's use of force.  </w:t>
      </w:r>
      <w:r w:rsidR="00483B7E" w:rsidRPr="00483B7E">
        <w:rPr>
          <w:u w:val="single"/>
        </w:rPr>
        <w:t>Pentik</w:t>
      </w:r>
      <w:r w:rsidRPr="00483B7E">
        <w:rPr>
          <w:u w:val="single"/>
        </w:rPr>
        <w:t>ainen v. Finland</w:t>
      </w:r>
      <w:r>
        <w:t>, Grand Chamber, October 2015</w:t>
      </w:r>
      <w:r>
        <w:rPr>
          <w:rStyle w:val="FootnoteReference"/>
        </w:rPr>
        <w:footnoteReference w:id="9"/>
      </w:r>
    </w:p>
    <w:p w:rsidR="00CF3000" w:rsidRDefault="00CE3D6A" w:rsidP="00772981">
      <w:pPr>
        <w:pStyle w:val="BodyTextFirstIndent"/>
      </w:pPr>
      <w:r>
        <w:t>Some statements of ECHR judge</w:t>
      </w:r>
      <w:r w:rsidR="00C40E6E">
        <w:t xml:space="preserve">s will further document the </w:t>
      </w:r>
      <w:r w:rsidR="00483B7E">
        <w:t>sea</w:t>
      </w:r>
      <w:r w:rsidR="00C40E6E">
        <w:t xml:space="preserve"> change in Strasbourg</w:t>
      </w:r>
      <w:r w:rsidR="0063031F">
        <w:t xml:space="preserve">.  </w:t>
      </w:r>
      <w:r w:rsidR="00C40E6E">
        <w:t>Judge Zupanci</w:t>
      </w:r>
      <w:r w:rsidR="00483B7E">
        <w:t>c</w:t>
      </w:r>
      <w:r w:rsidR="00C40E6E">
        <w:t xml:space="preserve"> of Slovenia </w:t>
      </w:r>
      <w:r w:rsidR="00483B7E">
        <w:t>famously wrote, "Moreover, I believe the</w:t>
      </w:r>
      <w:r w:rsidR="00C40E6E">
        <w:t xml:space="preserve"> courts have to some extent under American influence, made a </w:t>
      </w:r>
      <w:r w:rsidR="00E01477">
        <w:t>fetish</w:t>
      </w:r>
      <w:r w:rsidR="00C40E6E">
        <w:t xml:space="preserve"> of the freedom of the press</w:t>
      </w:r>
      <w:r w:rsidR="00E01477">
        <w:t>".</w:t>
      </w:r>
      <w:r w:rsidR="00617EC5">
        <w:t xml:space="preserve">  </w:t>
      </w:r>
      <w:r w:rsidR="00C40E6E" w:rsidRPr="007B70E1">
        <w:rPr>
          <w:u w:val="single"/>
        </w:rPr>
        <w:t>Von Hannover v. Germany</w:t>
      </w:r>
      <w:r w:rsidR="00C40E6E">
        <w:t>(1) (2004)</w:t>
      </w:r>
      <w:r w:rsidR="007B70E1">
        <w:t>.</w:t>
      </w:r>
      <w:r w:rsidR="007B70E1" w:rsidRPr="001E179F">
        <w:rPr>
          <w:rStyle w:val="FootnoteReference"/>
        </w:rPr>
        <w:footnoteReference w:id="10"/>
      </w:r>
      <w:r w:rsidR="00C40E6E">
        <w:t xml:space="preserve">  Judge Loucaide</w:t>
      </w:r>
      <w:r w:rsidR="00565C73">
        <w:t>s</w:t>
      </w:r>
      <w:r w:rsidR="00C40E6E">
        <w:t xml:space="preserve"> wrote, "[T]he case law or the subject of freedom of speech has on occasion shown an excessive sensitivity and granted over-protection...with freedom of expression</w:t>
      </w:r>
      <w:r w:rsidR="007B70E1">
        <w:t xml:space="preserve"> </w:t>
      </w:r>
      <w:r w:rsidR="00C40E6E">
        <w:t>.</w:t>
      </w:r>
      <w:r w:rsidR="007B70E1">
        <w:t xml:space="preserve"> </w:t>
      </w:r>
      <w:r w:rsidR="00C40E6E">
        <w:t>.</w:t>
      </w:r>
      <w:r w:rsidR="007B70E1">
        <w:t xml:space="preserve"> </w:t>
      </w:r>
      <w:r w:rsidR="00C40E6E">
        <w:t xml:space="preserve">." </w:t>
      </w:r>
      <w:r w:rsidR="00C40E6E" w:rsidRPr="00565C73">
        <w:rPr>
          <w:u w:val="single"/>
        </w:rPr>
        <w:t>Lindon-O</w:t>
      </w:r>
      <w:r w:rsidR="007B70E1" w:rsidRPr="00565C73">
        <w:rPr>
          <w:u w:val="single"/>
        </w:rPr>
        <w:t>t</w:t>
      </w:r>
      <w:r w:rsidR="00565C73" w:rsidRPr="00565C73">
        <w:rPr>
          <w:u w:val="single"/>
        </w:rPr>
        <w:t>c</w:t>
      </w:r>
      <w:r w:rsidR="007B70E1" w:rsidRPr="00565C73">
        <w:rPr>
          <w:u w:val="single"/>
        </w:rPr>
        <w:t>hakovsky</w:t>
      </w:r>
      <w:r w:rsidR="00C40E6E" w:rsidRPr="00565C73">
        <w:rPr>
          <w:u w:val="single"/>
        </w:rPr>
        <w:t xml:space="preserve"> and </w:t>
      </w:r>
      <w:r w:rsidR="003964F4" w:rsidRPr="00565C73">
        <w:rPr>
          <w:u w:val="single"/>
        </w:rPr>
        <w:t>July</w:t>
      </w:r>
      <w:r w:rsidR="00C40E6E" w:rsidRPr="00565C73">
        <w:rPr>
          <w:u w:val="single"/>
        </w:rPr>
        <w:t xml:space="preserve"> v. France</w:t>
      </w:r>
      <w:r w:rsidR="00C40E6E" w:rsidRPr="00617EC5">
        <w:t>, 2007</w:t>
      </w:r>
      <w:r w:rsidR="00C40E6E">
        <w:rPr>
          <w:rStyle w:val="FootnoteReference"/>
        </w:rPr>
        <w:footnoteReference w:id="11"/>
      </w:r>
    </w:p>
    <w:p w:rsidR="00C40E6E" w:rsidRDefault="00C40E6E" w:rsidP="00772981">
      <w:pPr>
        <w:pStyle w:val="BodyTextFirstIndent"/>
      </w:pPr>
      <w:r>
        <w:t xml:space="preserve">It is significant that in deciding many, if not most, of these "highly controversial" cases, the court did so without the benefit of </w:t>
      </w:r>
      <w:r w:rsidRPr="00D87643">
        <w:t>amic</w:t>
      </w:r>
      <w:r w:rsidR="00F966D0">
        <w:t>i</w:t>
      </w:r>
      <w:r w:rsidRPr="00D87643">
        <w:t xml:space="preserve"> curiae</w:t>
      </w:r>
      <w:r>
        <w:t xml:space="preserve"> </w:t>
      </w:r>
      <w:r w:rsidR="00F966D0">
        <w:t>briefs from media organizations.  The Court thus decided fundamental issues o</w:t>
      </w:r>
      <w:r w:rsidR="007B70E1">
        <w:t>f</w:t>
      </w:r>
      <w:r w:rsidR="00F966D0">
        <w:t xml:space="preserve"> freedom of the press and the right of the public to be informed in the absence of scholarly research and advocacy by an expert non-party which could have advised the court how to avoid unnecessarily erroneous results.</w:t>
      </w:r>
      <w:r>
        <w:t xml:space="preserve"> </w:t>
      </w:r>
    </w:p>
    <w:p w:rsidR="00F966D0" w:rsidRDefault="00F966D0" w:rsidP="00772981">
      <w:pPr>
        <w:pStyle w:val="BodyTextFirstIndent"/>
      </w:pPr>
      <w:r>
        <w:t xml:space="preserve">A few </w:t>
      </w:r>
      <w:r w:rsidR="00565C73">
        <w:t xml:space="preserve">excellent </w:t>
      </w:r>
      <w:r>
        <w:t xml:space="preserve">media </w:t>
      </w:r>
      <w:r w:rsidR="007B70E1">
        <w:t>NGO</w:t>
      </w:r>
      <w:r w:rsidR="00565C73">
        <w:t>s</w:t>
      </w:r>
      <w:r>
        <w:t xml:space="preserve"> intervene in some Article 10 cases, including, Media Legal </w:t>
      </w:r>
      <w:r w:rsidR="00F3648E">
        <w:t>Defence</w:t>
      </w:r>
      <w:r>
        <w:t xml:space="preserve"> Initiative and Article 19.  To this list should now be added the leading </w:t>
      </w:r>
      <w:r w:rsidR="00F3648E">
        <w:t>Ukrainian</w:t>
      </w:r>
      <w:r w:rsidR="007B70E1">
        <w:t xml:space="preserve"> NG</w:t>
      </w:r>
      <w:r>
        <w:t>O</w:t>
      </w:r>
      <w:r w:rsidR="00565C73">
        <w:t>,</w:t>
      </w:r>
      <w:r>
        <w:t xml:space="preserve"> Centre for Democracy and Rule of Law (CEDEM) formerly Media Law Institute).  </w:t>
      </w:r>
      <w:r w:rsidR="00CF489F">
        <w:t>C</w:t>
      </w:r>
      <w:r>
        <w:t xml:space="preserve">EDEM lawyers previously </w:t>
      </w:r>
      <w:r w:rsidR="007B70E1">
        <w:t>lo</w:t>
      </w:r>
      <w:r w:rsidR="00565C73">
        <w:t>d</w:t>
      </w:r>
      <w:r w:rsidR="007B70E1">
        <w:t>ged</w:t>
      </w:r>
      <w:r>
        <w:t xml:space="preserve"> four Article 10 applications on behalf of </w:t>
      </w:r>
      <w:r w:rsidR="00F3648E">
        <w:t>Ukrainian</w:t>
      </w:r>
      <w:r>
        <w:t xml:space="preserve"> journalists, and supported </w:t>
      </w:r>
      <w:r w:rsidR="007B70E1">
        <w:t>an</w:t>
      </w:r>
      <w:r>
        <w:t xml:space="preserve"> additional 32 press freedom cases, including five applications to the ECHR.  This reflects CEDEM's concern</w:t>
      </w:r>
      <w:r w:rsidR="007B70E1">
        <w:t xml:space="preserve"> a</w:t>
      </w:r>
      <w:r>
        <w:t xml:space="preserve">bout the protection of journalists </w:t>
      </w:r>
      <w:r w:rsidR="00565C73">
        <w:t>in</w:t>
      </w:r>
      <w:r>
        <w:t xml:space="preserve"> Ukraine, especially regarding </w:t>
      </w:r>
      <w:r w:rsidR="00ED6706">
        <w:t>numerous human rights violations in the occupied territories.</w:t>
      </w:r>
    </w:p>
    <w:p w:rsidR="00ED6706" w:rsidRDefault="00ED6706" w:rsidP="00772981">
      <w:pPr>
        <w:pStyle w:val="BodyTextFirstIndent"/>
      </w:pPr>
      <w:r>
        <w:t>With a view t</w:t>
      </w:r>
      <w:r w:rsidR="008708A3">
        <w:t>o</w:t>
      </w:r>
      <w:r>
        <w:t xml:space="preserve"> encourage other media organizations to intervene, CEDEM has filed amicus </w:t>
      </w:r>
      <w:r w:rsidRPr="00D87643">
        <w:t>curiae</w:t>
      </w:r>
      <w:r>
        <w:t xml:space="preserve"> briefs in two cases, important both in Ukraine and </w:t>
      </w:r>
      <w:r w:rsidR="00565C73">
        <w:t xml:space="preserve">the </w:t>
      </w:r>
      <w:r>
        <w:t xml:space="preserve">whole </w:t>
      </w:r>
      <w:r w:rsidR="00565C73">
        <w:t xml:space="preserve">of </w:t>
      </w:r>
      <w:r>
        <w:t>the Council of Europe community.</w:t>
      </w:r>
    </w:p>
    <w:p w:rsidR="00E8758C" w:rsidRDefault="00E8758C" w:rsidP="00E8758C">
      <w:pPr>
        <w:pStyle w:val="BodyTextFirstIndent"/>
      </w:pPr>
      <w:r>
        <w:t>The</w:t>
      </w:r>
      <w:r w:rsidR="007B70E1">
        <w:t xml:space="preserve"> first case was initiated by Sl</w:t>
      </w:r>
      <w:r>
        <w:t>ovo Batkivshchyn</w:t>
      </w:r>
      <w:r w:rsidR="007B70E1">
        <w:t>a</w:t>
      </w:r>
      <w:r>
        <w:t>,</w:t>
      </w:r>
      <w:r w:rsidR="00497618">
        <w:rPr>
          <w:rStyle w:val="FootnoteReference"/>
        </w:rPr>
        <w:footnoteReference w:id="12"/>
      </w:r>
      <w:r>
        <w:t xml:space="preserve"> newspaper, founded by the political party in Ukraine.</w:t>
      </w:r>
      <w:r w:rsidR="00843AA0">
        <w:t xml:space="preserve">  </w:t>
      </w:r>
      <w:r>
        <w:t xml:space="preserve">The newspaper published two articles about a </w:t>
      </w:r>
      <w:r w:rsidR="00843AA0">
        <w:t>me</w:t>
      </w:r>
      <w:r>
        <w:t>mb</w:t>
      </w:r>
      <w:r w:rsidR="00843AA0">
        <w:t>e</w:t>
      </w:r>
      <w:r>
        <w:t>r of parlia</w:t>
      </w:r>
      <w:r w:rsidR="00843AA0">
        <w:t>me</w:t>
      </w:r>
      <w:r>
        <w:t xml:space="preserve">nt, and was ordered </w:t>
      </w:r>
      <w:r w:rsidR="00565C73">
        <w:t xml:space="preserve">at trial </w:t>
      </w:r>
      <w:r>
        <w:t>to refute the state</w:t>
      </w:r>
      <w:r w:rsidR="00843AA0">
        <w:t>m</w:t>
      </w:r>
      <w:r>
        <w:t>ents found untrue</w:t>
      </w:r>
      <w:r w:rsidR="00843AA0">
        <w:t xml:space="preserve"> </w:t>
      </w:r>
      <w:r>
        <w:t>and pay non-pecuniary damages to the politician and her party</w:t>
      </w:r>
      <w:r w:rsidR="0063031F">
        <w:t xml:space="preserve">.  </w:t>
      </w:r>
      <w:r>
        <w:t>Dealing with the fundamental</w:t>
      </w:r>
      <w:r w:rsidR="00843AA0">
        <w:t xml:space="preserve"> </w:t>
      </w:r>
      <w:r>
        <w:t>questions conc</w:t>
      </w:r>
      <w:r w:rsidR="007B70E1">
        <w:t>erni</w:t>
      </w:r>
      <w:r>
        <w:t>ng the efficacy of Article l0 regulating d</w:t>
      </w:r>
      <w:r w:rsidR="00843AA0">
        <w:t>e</w:t>
      </w:r>
      <w:r>
        <w:t>fa</w:t>
      </w:r>
      <w:r w:rsidR="00843AA0">
        <w:t>m</w:t>
      </w:r>
      <w:r>
        <w:t>ation actions brought by a political</w:t>
      </w:r>
      <w:r w:rsidR="00843AA0">
        <w:t xml:space="preserve"> </w:t>
      </w:r>
      <w:r>
        <w:t>party and members of parlia</w:t>
      </w:r>
      <w:r w:rsidR="00843AA0">
        <w:t>m</w:t>
      </w:r>
      <w:r>
        <w:t xml:space="preserve">ent against the </w:t>
      </w:r>
      <w:r w:rsidR="00843AA0">
        <w:t>m</w:t>
      </w:r>
      <w:r>
        <w:t xml:space="preserve">ass </w:t>
      </w:r>
      <w:r w:rsidR="00843AA0">
        <w:t>me</w:t>
      </w:r>
      <w:r>
        <w:t>dia, CEDEM addressed the issues of wheth</w:t>
      </w:r>
      <w:r w:rsidR="00843AA0">
        <w:t>e</w:t>
      </w:r>
      <w:r>
        <w:t>r</w:t>
      </w:r>
      <w:r w:rsidR="00843AA0">
        <w:t xml:space="preserve"> </w:t>
      </w:r>
      <w:r w:rsidR="00CF489F">
        <w:t xml:space="preserve">a </w:t>
      </w:r>
      <w:r>
        <w:t>newspaper, founded and own</w:t>
      </w:r>
      <w:r w:rsidR="00843AA0">
        <w:t>e</w:t>
      </w:r>
      <w:r>
        <w:t>d by a political party</w:t>
      </w:r>
      <w:r w:rsidR="007B70E1">
        <w:t>,</w:t>
      </w:r>
      <w:r>
        <w:t xml:space="preserve"> </w:t>
      </w:r>
      <w:r w:rsidR="00565C73">
        <w:t>should</w:t>
      </w:r>
      <w:r>
        <w:t xml:space="preserve"> enjoy the same level of protection under</w:t>
      </w:r>
      <w:r w:rsidR="00843AA0">
        <w:t xml:space="preserve"> </w:t>
      </w:r>
      <w:r>
        <w:t xml:space="preserve">Article 10 as other </w:t>
      </w:r>
      <w:r w:rsidR="00843AA0">
        <w:t>me</w:t>
      </w:r>
      <w:r>
        <w:t xml:space="preserve">dia and, what's </w:t>
      </w:r>
      <w:r w:rsidR="00843AA0">
        <w:t>m</w:t>
      </w:r>
      <w:r>
        <w:t>or</w:t>
      </w:r>
      <w:r w:rsidR="00843AA0">
        <w:t>e</w:t>
      </w:r>
      <w:r>
        <w:t xml:space="preserve"> i</w:t>
      </w:r>
      <w:r w:rsidR="00843AA0">
        <w:t>m</w:t>
      </w:r>
      <w:r>
        <w:t>portant, whether the a</w:t>
      </w:r>
      <w:r w:rsidR="00843AA0">
        <w:t>war</w:t>
      </w:r>
      <w:r>
        <w:t>d of da</w:t>
      </w:r>
      <w:r w:rsidR="00843AA0">
        <w:t>m</w:t>
      </w:r>
      <w:r>
        <w:t>ages to political</w:t>
      </w:r>
      <w:r w:rsidR="00843AA0">
        <w:t xml:space="preserve"> </w:t>
      </w:r>
      <w:r>
        <w:t>party constitute</w:t>
      </w:r>
      <w:r w:rsidR="00617EC5">
        <w:t>s</w:t>
      </w:r>
      <w:r>
        <w:t xml:space="preserve"> a violation of Article 10.</w:t>
      </w:r>
    </w:p>
    <w:p w:rsidR="00E8758C" w:rsidRDefault="00E8758C" w:rsidP="00E8758C">
      <w:pPr>
        <w:pStyle w:val="BodyTextFirstIndent"/>
      </w:pPr>
      <w:r>
        <w:t xml:space="preserve">The second </w:t>
      </w:r>
      <w:r w:rsidR="00843AA0">
        <w:t>c</w:t>
      </w:r>
      <w:r>
        <w:t>ase CEDEM i</w:t>
      </w:r>
      <w:r w:rsidR="00843AA0">
        <w:t>n</w:t>
      </w:r>
      <w:r>
        <w:t>tervened in</w:t>
      </w:r>
      <w:r w:rsidR="00565C73">
        <w:t>,</w:t>
      </w:r>
      <w:r>
        <w:t xml:space="preserve"> </w:t>
      </w:r>
      <w:r w:rsidRPr="009733A4">
        <w:rPr>
          <w:u w:val="single"/>
        </w:rPr>
        <w:t>Sau</w:t>
      </w:r>
      <w:r w:rsidR="00565C73">
        <w:rPr>
          <w:u w:val="single"/>
        </w:rPr>
        <w:t>r</w:t>
      </w:r>
      <w:r w:rsidR="00843AA0" w:rsidRPr="009733A4">
        <w:rPr>
          <w:u w:val="single"/>
        </w:rPr>
        <w:t>e</w:t>
      </w:r>
      <w:r w:rsidRPr="009733A4">
        <w:rPr>
          <w:u w:val="single"/>
        </w:rPr>
        <w:t xml:space="preserve"> v. Ge</w:t>
      </w:r>
      <w:r w:rsidR="00F3648E">
        <w:rPr>
          <w:u w:val="single"/>
        </w:rPr>
        <w:t>rm</w:t>
      </w:r>
      <w:r w:rsidRPr="009733A4">
        <w:rPr>
          <w:u w:val="single"/>
        </w:rPr>
        <w:t>an</w:t>
      </w:r>
      <w:r w:rsidR="00843AA0" w:rsidRPr="009733A4">
        <w:rPr>
          <w:u w:val="single"/>
        </w:rPr>
        <w:t>y</w:t>
      </w:r>
      <w:r w:rsidR="00843AA0">
        <w:t>,</w:t>
      </w:r>
      <w:r w:rsidR="00497618">
        <w:rPr>
          <w:rStyle w:val="FootnoteReference"/>
        </w:rPr>
        <w:footnoteReference w:id="13"/>
      </w:r>
      <w:r w:rsidR="00843AA0">
        <w:t xml:space="preserve"> rais</w:t>
      </w:r>
      <w:r>
        <w:t xml:space="preserve">ed before the Court </w:t>
      </w:r>
      <w:r w:rsidR="00843AA0">
        <w:t>one</w:t>
      </w:r>
      <w:r>
        <w:t xml:space="preserve"> of</w:t>
      </w:r>
      <w:r w:rsidR="00843AA0">
        <w:t xml:space="preserve"> </w:t>
      </w:r>
      <w:r>
        <w:t>the most debatable issues as to whether Article l0 of the Convention should be read as protecting a</w:t>
      </w:r>
      <w:r w:rsidR="00843AA0">
        <w:t xml:space="preserve"> </w:t>
      </w:r>
      <w:r>
        <w:t>general right to access infor</w:t>
      </w:r>
      <w:r w:rsidR="007B70E1">
        <w:t>m</w:t>
      </w:r>
      <w:r>
        <w:t>ation held by public authorities</w:t>
      </w:r>
      <w:r w:rsidR="0063031F">
        <w:t xml:space="preserve">.  </w:t>
      </w:r>
      <w:r>
        <w:t>Having profound expertis</w:t>
      </w:r>
      <w:r w:rsidR="00843AA0">
        <w:t>e</w:t>
      </w:r>
      <w:r>
        <w:t xml:space="preserve"> in the</w:t>
      </w:r>
      <w:r w:rsidR="00843AA0">
        <w:t xml:space="preserve"> </w:t>
      </w:r>
      <w:r>
        <w:t xml:space="preserve">implementation of </w:t>
      </w:r>
      <w:r w:rsidR="00617EC5">
        <w:t xml:space="preserve">the </w:t>
      </w:r>
      <w:r w:rsidR="00843AA0">
        <w:t>I</w:t>
      </w:r>
      <w:r>
        <w:t>nfo</w:t>
      </w:r>
      <w:r w:rsidR="00843AA0">
        <w:t>rm</w:t>
      </w:r>
      <w:r>
        <w:t>ation Act in Ukraine</w:t>
      </w:r>
      <w:r w:rsidR="00843AA0">
        <w:t>,</w:t>
      </w:r>
      <w:r>
        <w:t xml:space="preserve"> in its </w:t>
      </w:r>
      <w:r w:rsidR="00843AA0">
        <w:t>amici</w:t>
      </w:r>
      <w:r>
        <w:t xml:space="preserve"> brief CEDE</w:t>
      </w:r>
      <w:r w:rsidR="00843AA0">
        <w:t>M</w:t>
      </w:r>
      <w:r>
        <w:t xml:space="preserve"> supported the idea by</w:t>
      </w:r>
      <w:r w:rsidR="00843AA0">
        <w:t xml:space="preserve"> </w:t>
      </w:r>
      <w:r>
        <w:t xml:space="preserve">providing analysis of </w:t>
      </w:r>
      <w:r w:rsidR="00E84527">
        <w:t xml:space="preserve">the </w:t>
      </w:r>
      <w:r>
        <w:t>international standards and practice</w:t>
      </w:r>
      <w:r w:rsidR="00843AA0">
        <w:t>s</w:t>
      </w:r>
      <w:r>
        <w:t xml:space="preserve"> </w:t>
      </w:r>
      <w:r w:rsidR="00843AA0">
        <w:t>i</w:t>
      </w:r>
      <w:r>
        <w:t>n the field of freedo</w:t>
      </w:r>
      <w:r w:rsidR="00843AA0">
        <w:t>m</w:t>
      </w:r>
      <w:r>
        <w:t xml:space="preserve"> of </w:t>
      </w:r>
      <w:r w:rsidR="00843AA0">
        <w:t>i</w:t>
      </w:r>
      <w:r>
        <w:t>nfo</w:t>
      </w:r>
      <w:r w:rsidR="00843AA0">
        <w:t>rm</w:t>
      </w:r>
      <w:r>
        <w:t>at</w:t>
      </w:r>
      <w:r w:rsidR="00843AA0">
        <w:t>i</w:t>
      </w:r>
      <w:r>
        <w:t>on,</w:t>
      </w:r>
      <w:r w:rsidR="00843AA0">
        <w:t xml:space="preserve"> emphasizing </w:t>
      </w:r>
      <w:r>
        <w:t>the value of seeking info</w:t>
      </w:r>
      <w:r w:rsidR="00843AA0">
        <w:t>rm</w:t>
      </w:r>
      <w:r>
        <w:t>atio</w:t>
      </w:r>
      <w:r w:rsidR="00843AA0">
        <w:t>n</w:t>
      </w:r>
      <w:r>
        <w:t xml:space="preserve"> for</w:t>
      </w:r>
      <w:r w:rsidR="00843AA0">
        <w:t xml:space="preserve"> freedom</w:t>
      </w:r>
      <w:r>
        <w:t xml:space="preserve"> of speech </w:t>
      </w:r>
      <w:r w:rsidR="00E84527">
        <w:t xml:space="preserve">in a </w:t>
      </w:r>
      <w:r w:rsidR="00843AA0">
        <w:t>d</w:t>
      </w:r>
      <w:r>
        <w:t>e</w:t>
      </w:r>
      <w:r w:rsidR="00843AA0">
        <w:t>m</w:t>
      </w:r>
      <w:r>
        <w:t>ocracy</w:t>
      </w:r>
      <w:r w:rsidR="00C03DA8">
        <w:t>,</w:t>
      </w:r>
      <w:r>
        <w:t xml:space="preserve"> </w:t>
      </w:r>
      <w:r w:rsidR="009733A4">
        <w:t xml:space="preserve">CEDEM's lawyers intervened in </w:t>
      </w:r>
      <w:r w:rsidR="009733A4" w:rsidRPr="009733A4">
        <w:rPr>
          <w:u w:val="single"/>
        </w:rPr>
        <w:t>Sau</w:t>
      </w:r>
      <w:r w:rsidR="00E84527">
        <w:rPr>
          <w:u w:val="single"/>
        </w:rPr>
        <w:t>r</w:t>
      </w:r>
      <w:r w:rsidR="009733A4" w:rsidRPr="009733A4">
        <w:rPr>
          <w:u w:val="single"/>
        </w:rPr>
        <w:t>e v. Germany</w:t>
      </w:r>
      <w:r w:rsidR="009733A4">
        <w:t xml:space="preserve"> shortly before the Grand Chamber, with amici assistance from several media NGOs, deci</w:t>
      </w:r>
      <w:r w:rsidR="00F3648E">
        <w:t>d</w:t>
      </w:r>
      <w:r w:rsidR="009733A4">
        <w:t xml:space="preserve">ed </w:t>
      </w:r>
      <w:r w:rsidR="009733A4">
        <w:rPr>
          <w:u w:val="single"/>
        </w:rPr>
        <w:t>Magy</w:t>
      </w:r>
      <w:r w:rsidR="007B70E1">
        <w:rPr>
          <w:u w:val="single"/>
        </w:rPr>
        <w:t>ar Helsinki B</w:t>
      </w:r>
      <w:r w:rsidR="00E84527">
        <w:rPr>
          <w:u w:val="single"/>
        </w:rPr>
        <w:t>i</w:t>
      </w:r>
      <w:r w:rsidR="007B70E1">
        <w:rPr>
          <w:u w:val="single"/>
        </w:rPr>
        <w:t>z</w:t>
      </w:r>
      <w:r w:rsidR="009733A4">
        <w:rPr>
          <w:u w:val="single"/>
        </w:rPr>
        <w:t>o</w:t>
      </w:r>
      <w:r w:rsidR="007B70E1">
        <w:rPr>
          <w:u w:val="single"/>
        </w:rPr>
        <w:t>tt</w:t>
      </w:r>
      <w:r w:rsidR="009733A4">
        <w:rPr>
          <w:u w:val="single"/>
        </w:rPr>
        <w:t>sa</w:t>
      </w:r>
      <w:r w:rsidR="007B70E1">
        <w:rPr>
          <w:u w:val="single"/>
        </w:rPr>
        <w:t>g</w:t>
      </w:r>
      <w:r w:rsidR="009733A4">
        <w:rPr>
          <w:u w:val="single"/>
        </w:rPr>
        <w:t xml:space="preserve"> v. Hungary</w:t>
      </w:r>
      <w:r w:rsidR="009733A4">
        <w:t>,</w:t>
      </w:r>
      <w:r w:rsidR="009733A4">
        <w:rPr>
          <w:rStyle w:val="FootnoteReference"/>
        </w:rPr>
        <w:footnoteReference w:id="14"/>
      </w:r>
      <w:r w:rsidR="009733A4">
        <w:t xml:space="preserve"> described above.  CEDEM's philosophy holds that intervening in Strasbourg represents one of the most effective instruments to influence development of an enabling legal </w:t>
      </w:r>
      <w:r w:rsidR="00F3648E">
        <w:t>environment</w:t>
      </w:r>
      <w:r w:rsidR="009733A4">
        <w:t xml:space="preserve"> for the media on both national (</w:t>
      </w:r>
      <w:r w:rsidR="00F3648E">
        <w:t>Ukrainian</w:t>
      </w:r>
      <w:r w:rsidR="009733A4">
        <w:t>) and international levels.</w:t>
      </w:r>
    </w:p>
    <w:p w:rsidR="006324BC" w:rsidRPr="006324BC" w:rsidRDefault="006324BC" w:rsidP="009775F9">
      <w:pPr>
        <w:pStyle w:val="BodyText"/>
        <w:keepNext/>
        <w:rPr>
          <w:b/>
        </w:rPr>
      </w:pPr>
      <w:r w:rsidRPr="006324BC">
        <w:rPr>
          <w:b/>
        </w:rPr>
        <w:t>How to Intervene</w:t>
      </w:r>
    </w:p>
    <w:p w:rsidR="006324BC" w:rsidRDefault="00F7213D" w:rsidP="00E8758C">
      <w:pPr>
        <w:pStyle w:val="BodyTextFirstIndent"/>
      </w:pPr>
      <w:r>
        <w:t>Media organizations and their lawyers will find that that intervening and submitting amici briefs is a straightforward process.  It consists of the following four steps:  monitoring the ECHR docket, identifying the Article 10 cases ripe for intervention, requesting the Court to permit intervention, and, once granted, writing and submitting the amici brief.  Article 36, s.2 of the Convention and Rule 44 s.2 of the Rules of Court will guide prospective interveners.</w:t>
      </w:r>
    </w:p>
    <w:p w:rsidR="00F7213D" w:rsidRDefault="00A41708" w:rsidP="00E8758C">
      <w:pPr>
        <w:pStyle w:val="BodyTextFirstIndent"/>
      </w:pPr>
      <w:r>
        <w:t>Monitoring the Docket.  The best practice is to make regular, at least monthly</w:t>
      </w:r>
      <w:r w:rsidR="0072131A">
        <w:t>,</w:t>
      </w:r>
      <w:r>
        <w:t xml:space="preserve"> visits to the ECHR website, </w:t>
      </w:r>
      <w:hyperlink r:id="rId15" w:history="1">
        <w:r w:rsidRPr="004221A5">
          <w:rPr>
            <w:rStyle w:val="Hyperlink"/>
          </w:rPr>
          <w:t>www.echr.coe.int</w:t>
        </w:r>
      </w:hyperlink>
      <w:r>
        <w:t xml:space="preserve"> to locate Article 10 cases recently communicated to government</w:t>
      </w:r>
      <w:r w:rsidR="0072131A">
        <w:t>s</w:t>
      </w:r>
      <w:r>
        <w:t>.  This means that the Court has examined the journalist's application and has forwarded it to the target government for a response.  The date of communication opens a window of twelve weeks for prospective interveners to request the Court for permission to intervene.</w:t>
      </w:r>
    </w:p>
    <w:p w:rsidR="00C62F7D" w:rsidRDefault="00C62F7D" w:rsidP="00E8758C">
      <w:pPr>
        <w:pStyle w:val="BodyTextFirstIndent"/>
      </w:pPr>
      <w:r>
        <w:t>Identifying the Article 10 Cases.  The Court's communication to the target government consists of a few pages summarizing the facts, provisions of national law, the applicant's complaint of an Article 10 violation, and the legal issues</w:t>
      </w:r>
      <w:r w:rsidR="00735FA9">
        <w:t xml:space="preserve"> raised by the Court.  Depending on the issues, media organizations and their lawyers will decide whether to seek to intervene.  Recognizing the serious challenges presented by the Court's sea change, the more well-reasoned interventions the better.</w:t>
      </w:r>
    </w:p>
    <w:p w:rsidR="00E16B6C" w:rsidRDefault="00E16B6C" w:rsidP="00E8758C">
      <w:pPr>
        <w:pStyle w:val="BodyTextFirstIndent"/>
      </w:pPr>
      <w:r>
        <w:t>Request to Intervene.  Within the twelve</w:t>
      </w:r>
      <w:r w:rsidR="0072131A">
        <w:t>-</w:t>
      </w:r>
      <w:r>
        <w:t>week period, media organizations will submit a letter to the President of the Section or Chamber.  The letter describes the media organization's experience and expertise in media and media law</w:t>
      </w:r>
      <w:r w:rsidR="00875ECB">
        <w:t xml:space="preserve"> and outlines the legal issues to be addressed in the proposed brie</w:t>
      </w:r>
      <w:r w:rsidR="007A2377">
        <w:t>f</w:t>
      </w:r>
      <w:r w:rsidR="00875ECB">
        <w:t>.</w:t>
      </w:r>
      <w:r w:rsidR="00A06177">
        <w:rPr>
          <w:rStyle w:val="FootnoteReference"/>
        </w:rPr>
        <w:footnoteReference w:id="15"/>
      </w:r>
    </w:p>
    <w:p w:rsidR="007A2377" w:rsidRDefault="001B410C" w:rsidP="00E8758C">
      <w:pPr>
        <w:pStyle w:val="BodyTextFirstIndent"/>
      </w:pPr>
      <w:r>
        <w:t>Writing the Brief.  The Court grants most such requests from reputable organizations.  It will prescribe the maximum length and due date for the brief and may caution the intervener to avoid arguments on the facts or merits.  Examples of superior interveners' briefs are presented in publications by Professor Philip Leach and Paul Harvey.</w:t>
      </w:r>
      <w:r w:rsidR="007549E6" w:rsidRPr="007549E6">
        <w:rPr>
          <w:rStyle w:val="FootnoteReference"/>
        </w:rPr>
        <w:t xml:space="preserve"> </w:t>
      </w:r>
      <w:r w:rsidR="007549E6">
        <w:rPr>
          <w:rStyle w:val="FootnoteReference"/>
        </w:rPr>
        <w:footnoteReference w:id="16"/>
      </w:r>
    </w:p>
    <w:p w:rsidR="00ED6706" w:rsidRDefault="009733A4" w:rsidP="00772981">
      <w:pPr>
        <w:pStyle w:val="BodyTextFirstIndent"/>
      </w:pPr>
      <w:r>
        <w:t xml:space="preserve">The sea change is an undeniable fact.  It is not irreversible.  In order to energize the media community to </w:t>
      </w:r>
      <w:r w:rsidR="007B70E1">
        <w:t xml:space="preserve">act to </w:t>
      </w:r>
      <w:r>
        <w:t>help reverse the sea change</w:t>
      </w:r>
      <w:r w:rsidR="007B70E1">
        <w:t>,</w:t>
      </w:r>
      <w:r>
        <w:t xml:space="preserve"> we urge an action plan that aims to:</w:t>
      </w:r>
    </w:p>
    <w:p w:rsidR="009733A4" w:rsidRDefault="009733A4" w:rsidP="001E179F">
      <w:pPr>
        <w:pStyle w:val="BodyTextFirstIndent"/>
        <w:tabs>
          <w:tab w:val="left" w:pos="990"/>
        </w:tabs>
      </w:pPr>
      <w:r>
        <w:t>-</w:t>
      </w:r>
      <w:r w:rsidR="00333840">
        <w:t xml:space="preserve"> </w:t>
      </w:r>
      <w:r w:rsidR="001E179F">
        <w:tab/>
      </w:r>
      <w:r>
        <w:t>Educate the media community of its right and opportunity to intervene,</w:t>
      </w:r>
    </w:p>
    <w:p w:rsidR="009733A4" w:rsidRDefault="009733A4" w:rsidP="001E179F">
      <w:pPr>
        <w:pStyle w:val="BodyTextFirstIndent"/>
        <w:tabs>
          <w:tab w:val="left" w:pos="990"/>
        </w:tabs>
      </w:pPr>
      <w:r>
        <w:t>-</w:t>
      </w:r>
      <w:r w:rsidR="001E179F">
        <w:tab/>
      </w:r>
      <w:r>
        <w:t xml:space="preserve">Show that unless </w:t>
      </w:r>
      <w:r w:rsidR="00333840">
        <w:t xml:space="preserve">the </w:t>
      </w:r>
      <w:r w:rsidR="007B70E1">
        <w:t>media</w:t>
      </w:r>
      <w:r w:rsidR="00333840">
        <w:t xml:space="preserve"> community acts, </w:t>
      </w:r>
      <w:r>
        <w:t>the consequences to freedom of expression will become even</w:t>
      </w:r>
      <w:r w:rsidR="00333840">
        <w:t xml:space="preserve"> worse</w:t>
      </w:r>
      <w:r w:rsidR="007549E6">
        <w:t>,</w:t>
      </w:r>
    </w:p>
    <w:p w:rsidR="009733A4" w:rsidRDefault="009733A4" w:rsidP="001E179F">
      <w:pPr>
        <w:pStyle w:val="BodyTextFirstIndent"/>
        <w:tabs>
          <w:tab w:val="left" w:pos="990"/>
        </w:tabs>
      </w:pPr>
      <w:r>
        <w:t>-</w:t>
      </w:r>
      <w:r w:rsidR="001E179F">
        <w:tab/>
      </w:r>
      <w:r>
        <w:t>Arouse interest and commitment within the media community to become proactive in intervening,</w:t>
      </w:r>
    </w:p>
    <w:p w:rsidR="009733A4" w:rsidRDefault="009733A4" w:rsidP="001E179F">
      <w:pPr>
        <w:pStyle w:val="BodyTextFirstIndent"/>
        <w:tabs>
          <w:tab w:val="left" w:pos="990"/>
        </w:tabs>
      </w:pPr>
      <w:r>
        <w:t>-</w:t>
      </w:r>
      <w:r w:rsidR="001E179F">
        <w:tab/>
      </w:r>
      <w:r>
        <w:t xml:space="preserve">Provide practical training to media outlets, NGOs and media lawyers in the skills of </w:t>
      </w:r>
      <w:r w:rsidR="006324BC" w:rsidRPr="006324BC">
        <w:t>intervention</w:t>
      </w:r>
      <w:r>
        <w:t xml:space="preserve"> and writing</w:t>
      </w:r>
      <w:r w:rsidR="00333840">
        <w:t xml:space="preserve"> </w:t>
      </w:r>
      <w:r>
        <w:t>effective, persuasive amicus briefs,</w:t>
      </w:r>
    </w:p>
    <w:p w:rsidR="009733A4" w:rsidRDefault="009733A4" w:rsidP="001E179F">
      <w:pPr>
        <w:pStyle w:val="BodyTextFirstIndent"/>
        <w:tabs>
          <w:tab w:val="left" w:pos="990"/>
        </w:tabs>
      </w:pPr>
      <w:r>
        <w:t>-</w:t>
      </w:r>
      <w:r w:rsidR="001E179F">
        <w:tab/>
      </w:r>
      <w:r>
        <w:t>Provide seed money to media lawyers, through NGOs, to pay them to write such effective briefs,</w:t>
      </w:r>
    </w:p>
    <w:p w:rsidR="009733A4" w:rsidRDefault="009733A4" w:rsidP="001E179F">
      <w:pPr>
        <w:pStyle w:val="BodyTextFirstIndent"/>
        <w:tabs>
          <w:tab w:val="left" w:pos="990"/>
        </w:tabs>
      </w:pPr>
      <w:r>
        <w:t>-</w:t>
      </w:r>
      <w:r w:rsidR="001E179F">
        <w:tab/>
      </w:r>
      <w:r>
        <w:t>Work with such institutions as the European Centre for Press and Media Freedoms and Media Legal Defence</w:t>
      </w:r>
      <w:r w:rsidR="00333840">
        <w:t xml:space="preserve"> </w:t>
      </w:r>
      <w:r w:rsidR="007B70E1">
        <w:t>Initiati</w:t>
      </w:r>
      <w:r>
        <w:t>ve to coordinate filing of amicus briefs, and</w:t>
      </w:r>
    </w:p>
    <w:p w:rsidR="009733A4" w:rsidRDefault="00333840" w:rsidP="001E179F">
      <w:pPr>
        <w:pStyle w:val="BodyTextFirstIndent"/>
        <w:tabs>
          <w:tab w:val="left" w:pos="990"/>
        </w:tabs>
      </w:pPr>
      <w:r>
        <w:t>-</w:t>
      </w:r>
      <w:r w:rsidR="001E179F">
        <w:tab/>
      </w:r>
      <w:r w:rsidR="009733A4">
        <w:t>Assist all stakeholders to self-organize, to monitor the ECHR docket carefully, and to insure that excellent</w:t>
      </w:r>
      <w:r>
        <w:t xml:space="preserve"> </w:t>
      </w:r>
      <w:r w:rsidR="009733A4">
        <w:t>am</w:t>
      </w:r>
      <w:r>
        <w:t>i</w:t>
      </w:r>
      <w:r w:rsidR="009733A4">
        <w:t>cus briefs are submitted in all, or nearly all Article 10 cases.</w:t>
      </w:r>
    </w:p>
    <w:p w:rsidR="009733A4" w:rsidRDefault="009733A4" w:rsidP="00F7213D">
      <w:pPr>
        <w:pStyle w:val="BodyTextFirstIndent"/>
        <w:spacing w:after="840"/>
      </w:pPr>
      <w:r>
        <w:t>Only with active and coordinated measure</w:t>
      </w:r>
      <w:r w:rsidR="00E84527">
        <w:t>s</w:t>
      </w:r>
      <w:r>
        <w:t xml:space="preserve"> </w:t>
      </w:r>
      <w:r w:rsidR="00333840">
        <w:t xml:space="preserve">such as these will be the media community, and the public at large, create a </w:t>
      </w:r>
      <w:r>
        <w:t>legal environment protecting both fr</w:t>
      </w:r>
      <w:r w:rsidR="00333840">
        <w:t>ee</w:t>
      </w:r>
      <w:r>
        <w:t>d</w:t>
      </w:r>
      <w:r w:rsidR="00333840">
        <w:t xml:space="preserve">om of expression and the </w:t>
      </w:r>
      <w:r>
        <w:t xml:space="preserve">free flow of information </w:t>
      </w:r>
      <w:r w:rsidR="007B70E1">
        <w:t>to that public</w:t>
      </w:r>
      <w:r>
        <w:t>.</w:t>
      </w:r>
    </w:p>
    <w:p w:rsidR="001E179F" w:rsidRDefault="007D75EB" w:rsidP="009733A4">
      <w:pPr>
        <w:pStyle w:val="BodyTextFirstIndent"/>
      </w:pPr>
      <w:r>
        <w:t>The authors are Alina</w:t>
      </w:r>
      <w:r w:rsidR="001E179F">
        <w:t xml:space="preserve"> Pravdychenko and Vita Volod</w:t>
      </w:r>
      <w:r>
        <w:t>o</w:t>
      </w:r>
      <w:r w:rsidR="001E179F">
        <w:t>vska, lawyers in the Media Law Instit</w:t>
      </w:r>
      <w:r>
        <w:t>ute, Centre for Democracy and Ru</w:t>
      </w:r>
      <w:r w:rsidR="001E179F">
        <w:t>le of Law (CEDEM), Kyiv, Ukraine; and Richard N. Winfield, professor of comparative mass media law, Columbia Law School and co-</w:t>
      </w:r>
      <w:r w:rsidR="00932746">
        <w:t>chair</w:t>
      </w:r>
      <w:r w:rsidR="001E179F">
        <w:t>, media law working group, International Senior Lawyers Project.</w:t>
      </w:r>
    </w:p>
    <w:sectPr w:rsidR="001E179F" w:rsidSect="006600CA">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1F4" w:rsidRDefault="00EF01F4" w:rsidP="00FD33A2">
      <w:pPr>
        <w:spacing w:after="0"/>
      </w:pPr>
      <w:r>
        <w:separator/>
      </w:r>
    </w:p>
  </w:endnote>
  <w:endnote w:type="continuationSeparator" w:id="0">
    <w:p w:rsidR="00EF01F4" w:rsidRDefault="00EF01F4" w:rsidP="00FD33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95" w:rsidRDefault="00940E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080"/>
      <w:gridCol w:w="3081"/>
      <w:gridCol w:w="3081"/>
    </w:tblGrid>
    <w:tr w:rsidR="00EF01F4" w:rsidTr="00882427">
      <w:sdt>
        <w:sdtPr>
          <w:alias w:val="CCDocID"/>
          <w:id w:val="11958586"/>
          <w:placeholder>
            <w:docPart w:val="DefaultPlaceholder_22675703"/>
          </w:placeholder>
          <w:dataBinding w:prefixMappings="xmlns:ns0='http://schemas.microsoft.com/office/2006/metadata/properties' xmlns:ns1='a2a130cf-6264-45c5-961f-7720b0d7226f' " w:xpath="/ns0:properties[1]/documentManagement[1]/ns1:DLCPolicyLabelValue[1]" w:storeItemID="{1503A43E-CE02-4A57-ACBC-98C724280BFC}"/>
          <w:text/>
        </w:sdtPr>
        <w:sdtContent>
          <w:tc>
            <w:tcPr>
              <w:tcW w:w="3080" w:type="dxa"/>
            </w:tcPr>
            <w:p w:rsidR="00EF01F4" w:rsidRDefault="008E41A6" w:rsidP="001E179F">
              <w:pPr>
                <w:pStyle w:val="Footer"/>
              </w:pPr>
              <w:r>
                <w:rPr>
                  <w:lang w:val="en-US"/>
                </w:rPr>
                <w:t>752323-4-29-v0.4</w:t>
              </w:r>
            </w:p>
          </w:tc>
        </w:sdtContent>
      </w:sdt>
      <w:tc>
        <w:tcPr>
          <w:tcW w:w="3081" w:type="dxa"/>
        </w:tcPr>
        <w:p w:rsidR="00EF01F4" w:rsidRPr="00882427" w:rsidRDefault="00EF01F4" w:rsidP="00882427">
          <w:pPr>
            <w:pStyle w:val="Footer"/>
            <w:jc w:val="center"/>
            <w:rPr>
              <w:rStyle w:val="PageNumber"/>
            </w:rPr>
          </w:pPr>
          <w:r>
            <w:rPr>
              <w:rStyle w:val="PageNumber"/>
            </w:rPr>
            <w:t xml:space="preserve">- </w:t>
          </w:r>
          <w:r w:rsidR="005963DF">
            <w:rPr>
              <w:rStyle w:val="PageNumber"/>
            </w:rPr>
            <w:fldChar w:fldCharType="begin"/>
          </w:r>
          <w:r>
            <w:rPr>
              <w:rStyle w:val="PageNumber"/>
            </w:rPr>
            <w:instrText xml:space="preserve"> PAGE  \* MERGEFORMAT </w:instrText>
          </w:r>
          <w:r w:rsidR="005963DF">
            <w:rPr>
              <w:rStyle w:val="PageNumber"/>
            </w:rPr>
            <w:fldChar w:fldCharType="separate"/>
          </w:r>
          <w:r w:rsidR="006600CA">
            <w:rPr>
              <w:rStyle w:val="PageNumber"/>
              <w:noProof/>
            </w:rPr>
            <w:t>6</w:t>
          </w:r>
          <w:r w:rsidR="005963DF">
            <w:rPr>
              <w:rStyle w:val="PageNumber"/>
            </w:rPr>
            <w:fldChar w:fldCharType="end"/>
          </w:r>
          <w:r>
            <w:rPr>
              <w:rStyle w:val="PageNumber"/>
            </w:rPr>
            <w:t xml:space="preserve"> -</w:t>
          </w:r>
        </w:p>
      </w:tc>
      <w:tc>
        <w:tcPr>
          <w:tcW w:w="3081" w:type="dxa"/>
        </w:tcPr>
        <w:p w:rsidR="00EF01F4" w:rsidRDefault="009D775E" w:rsidP="00882427">
          <w:pPr>
            <w:pStyle w:val="FooterRight"/>
          </w:pPr>
          <w:r>
            <w:t>80-20687897</w:t>
          </w:r>
        </w:p>
      </w:tc>
    </w:tr>
  </w:tbl>
  <w:p w:rsidR="00EF01F4" w:rsidRPr="00FF592B" w:rsidRDefault="00EF01F4" w:rsidP="008865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080"/>
      <w:gridCol w:w="3081"/>
      <w:gridCol w:w="3081"/>
    </w:tblGrid>
    <w:tr w:rsidR="00EF01F4" w:rsidTr="00882427">
      <w:sdt>
        <w:sdtPr>
          <w:alias w:val="CCDocID"/>
          <w:id w:val="11958591"/>
          <w:placeholder>
            <w:docPart w:val="DefaultPlaceholder_22675703"/>
          </w:placeholder>
          <w:dataBinding w:prefixMappings="xmlns:ns0='http://schemas.microsoft.com/office/2006/metadata/properties' xmlns:ns1='a2a130cf-6264-45c5-961f-7720b0d7226f' " w:xpath="/ns0:properties[1]/documentManagement[1]/ns1:DLCPolicyLabelValue[1]" w:storeItemID="{1503A43E-CE02-4A57-ACBC-98C724280BFC}"/>
          <w:text/>
        </w:sdtPr>
        <w:sdtContent>
          <w:tc>
            <w:tcPr>
              <w:tcW w:w="3080" w:type="dxa"/>
            </w:tcPr>
            <w:p w:rsidR="00EF01F4" w:rsidRDefault="008E41A6" w:rsidP="00882427">
              <w:pPr>
                <w:pStyle w:val="Footer"/>
              </w:pPr>
              <w:r>
                <w:rPr>
                  <w:lang w:val="en-US"/>
                </w:rPr>
                <w:t>752323-4-29-v0.4</w:t>
              </w:r>
            </w:p>
          </w:tc>
        </w:sdtContent>
      </w:sdt>
      <w:tc>
        <w:tcPr>
          <w:tcW w:w="3081" w:type="dxa"/>
        </w:tcPr>
        <w:p w:rsidR="00EF01F4" w:rsidRPr="00882427" w:rsidRDefault="00EF01F4" w:rsidP="00882427">
          <w:pPr>
            <w:pStyle w:val="Footer"/>
            <w:jc w:val="center"/>
            <w:rPr>
              <w:rStyle w:val="PageNumber"/>
            </w:rPr>
          </w:pPr>
          <w:r>
            <w:rPr>
              <w:rStyle w:val="PageNumber"/>
            </w:rPr>
            <w:t xml:space="preserve">- </w:t>
          </w:r>
          <w:r w:rsidR="005963DF">
            <w:rPr>
              <w:rStyle w:val="PageNumber"/>
            </w:rPr>
            <w:fldChar w:fldCharType="begin"/>
          </w:r>
          <w:r>
            <w:rPr>
              <w:rStyle w:val="PageNumber"/>
            </w:rPr>
            <w:instrText xml:space="preserve"> PAGE  \* MERGEFORMAT </w:instrText>
          </w:r>
          <w:r w:rsidR="005963DF">
            <w:rPr>
              <w:rStyle w:val="PageNumber"/>
            </w:rPr>
            <w:fldChar w:fldCharType="separate"/>
          </w:r>
          <w:r w:rsidR="006600CA">
            <w:rPr>
              <w:rStyle w:val="PageNumber"/>
              <w:noProof/>
            </w:rPr>
            <w:t>4</w:t>
          </w:r>
          <w:r w:rsidR="005963DF">
            <w:rPr>
              <w:rStyle w:val="PageNumber"/>
            </w:rPr>
            <w:fldChar w:fldCharType="end"/>
          </w:r>
          <w:r>
            <w:rPr>
              <w:rStyle w:val="PageNumber"/>
            </w:rPr>
            <w:t xml:space="preserve"> -</w:t>
          </w:r>
        </w:p>
      </w:tc>
      <w:tc>
        <w:tcPr>
          <w:tcW w:w="3081" w:type="dxa"/>
        </w:tcPr>
        <w:p w:rsidR="00EF01F4" w:rsidRDefault="009D775E" w:rsidP="00882427">
          <w:pPr>
            <w:pStyle w:val="FooterRight"/>
          </w:pPr>
          <w:r>
            <w:t>80-20687897</w:t>
          </w:r>
        </w:p>
      </w:tc>
    </w:tr>
  </w:tbl>
  <w:p w:rsidR="00EF01F4" w:rsidRPr="00FF592B" w:rsidRDefault="00EF01F4" w:rsidP="00D76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1F4" w:rsidRDefault="00EF01F4" w:rsidP="00FD33A2">
      <w:pPr>
        <w:spacing w:after="0"/>
      </w:pPr>
      <w:r>
        <w:separator/>
      </w:r>
    </w:p>
  </w:footnote>
  <w:footnote w:type="continuationSeparator" w:id="0">
    <w:p w:rsidR="00EF01F4" w:rsidRDefault="00EF01F4" w:rsidP="00FD33A2">
      <w:pPr>
        <w:spacing w:after="0"/>
      </w:pPr>
      <w:r>
        <w:continuationSeparator/>
      </w:r>
    </w:p>
  </w:footnote>
  <w:footnote w:id="1">
    <w:p w:rsidR="00EF01F4" w:rsidRPr="00943755" w:rsidRDefault="00EF01F4">
      <w:pPr>
        <w:pStyle w:val="FootnoteText"/>
        <w:rPr>
          <w:lang w:val="en-US"/>
        </w:rPr>
      </w:pPr>
      <w:r>
        <w:rPr>
          <w:rStyle w:val="FootnoteReference"/>
        </w:rPr>
        <w:footnoteRef/>
      </w:r>
      <w:r w:rsidR="001E179F">
        <w:tab/>
      </w:r>
      <w:r>
        <w:t xml:space="preserve"> </w:t>
      </w:r>
      <w:r w:rsidR="001E179F">
        <w:t>29 March 2016</w:t>
      </w:r>
    </w:p>
  </w:footnote>
  <w:footnote w:id="2">
    <w:p w:rsidR="00EF01F4" w:rsidRPr="00916F78" w:rsidRDefault="00EF01F4">
      <w:pPr>
        <w:pStyle w:val="FootnoteText"/>
        <w:rPr>
          <w:lang w:val="en-US"/>
        </w:rPr>
      </w:pPr>
      <w:r>
        <w:rPr>
          <w:rStyle w:val="FootnoteReference"/>
        </w:rPr>
        <w:footnoteRef/>
      </w:r>
      <w:r>
        <w:t xml:space="preserve"> </w:t>
      </w:r>
      <w:r w:rsidR="001E179F">
        <w:tab/>
        <w:t>30 November 2016</w:t>
      </w:r>
    </w:p>
  </w:footnote>
  <w:footnote w:id="3">
    <w:p w:rsidR="00EF01F4" w:rsidRPr="001B3E6F" w:rsidRDefault="00EF01F4">
      <w:pPr>
        <w:pStyle w:val="FootnoteText"/>
        <w:rPr>
          <w:lang w:val="en-US"/>
        </w:rPr>
      </w:pPr>
      <w:r>
        <w:rPr>
          <w:rStyle w:val="FootnoteReference"/>
        </w:rPr>
        <w:footnoteRef/>
      </w:r>
      <w:r>
        <w:t xml:space="preserve"> </w:t>
      </w:r>
      <w:r w:rsidR="001E179F">
        <w:tab/>
        <w:t xml:space="preserve">Van den Eynde, An Empirical Look at the Amicus Curiae Practice of Human Rights NGOs </w:t>
      </w:r>
      <w:r w:rsidR="007D75EB">
        <w:t>B</w:t>
      </w:r>
      <w:r w:rsidR="001E179F">
        <w:t xml:space="preserve">efore the European Court of Human Rights, Netherlands </w:t>
      </w:r>
      <w:r w:rsidR="007D75EB">
        <w:t>Q</w:t>
      </w:r>
      <w:r w:rsidR="001E179F">
        <w:t>uarterly of Human Rights, 2013 Vol. 31/3, 271-313.</w:t>
      </w:r>
    </w:p>
  </w:footnote>
  <w:footnote w:id="4">
    <w:p w:rsidR="00EF01F4" w:rsidRPr="00B903DD" w:rsidRDefault="00EF01F4">
      <w:pPr>
        <w:pStyle w:val="FootnoteText"/>
        <w:rPr>
          <w:lang w:val="en-US"/>
        </w:rPr>
      </w:pPr>
      <w:r>
        <w:rPr>
          <w:rStyle w:val="FootnoteReference"/>
        </w:rPr>
        <w:footnoteRef/>
      </w:r>
      <w:r>
        <w:t xml:space="preserve"> </w:t>
      </w:r>
      <w:r w:rsidR="001E179F">
        <w:tab/>
        <w:t>8 October 20</w:t>
      </w:r>
      <w:r w:rsidR="007D75EB">
        <w:t>0</w:t>
      </w:r>
      <w:r w:rsidR="001E179F">
        <w:t>9</w:t>
      </w:r>
    </w:p>
  </w:footnote>
  <w:footnote w:id="5">
    <w:p w:rsidR="00EF01F4" w:rsidRPr="00B903DD" w:rsidRDefault="00EF01F4">
      <w:pPr>
        <w:pStyle w:val="FootnoteText"/>
        <w:rPr>
          <w:lang w:val="en-US"/>
        </w:rPr>
      </w:pPr>
      <w:r>
        <w:rPr>
          <w:rStyle w:val="FootnoteReference"/>
        </w:rPr>
        <w:footnoteRef/>
      </w:r>
      <w:r>
        <w:t xml:space="preserve"> </w:t>
      </w:r>
      <w:r w:rsidR="001E179F">
        <w:tab/>
        <w:t>376 U.S. 254 (1964)</w:t>
      </w:r>
    </w:p>
  </w:footnote>
  <w:footnote w:id="6">
    <w:p w:rsidR="00E01477" w:rsidRPr="002D7695" w:rsidRDefault="00E01477" w:rsidP="00E01477">
      <w:pPr>
        <w:pStyle w:val="FootnoteText"/>
        <w:rPr>
          <w:lang w:val="en-US"/>
        </w:rPr>
      </w:pPr>
      <w:r>
        <w:rPr>
          <w:rStyle w:val="FootnoteReference"/>
        </w:rPr>
        <w:footnoteRef/>
      </w:r>
      <w:r>
        <w:t xml:space="preserve"> </w:t>
      </w:r>
      <w:r w:rsidR="001E179F">
        <w:tab/>
        <w:t>532 U.S. 514 (2001)</w:t>
      </w:r>
    </w:p>
  </w:footnote>
  <w:footnote w:id="7">
    <w:p w:rsidR="00EF01F4" w:rsidRPr="00EF01F4" w:rsidRDefault="00EF01F4">
      <w:pPr>
        <w:pStyle w:val="FootnoteText"/>
        <w:rPr>
          <w:lang w:val="en-US"/>
        </w:rPr>
      </w:pPr>
      <w:r>
        <w:rPr>
          <w:rStyle w:val="FootnoteReference"/>
        </w:rPr>
        <w:footnoteRef/>
      </w:r>
      <w:r>
        <w:t xml:space="preserve"> </w:t>
      </w:r>
      <w:r w:rsidR="001E179F">
        <w:tab/>
        <w:t>ECHR Blog, 7 April 2016</w:t>
      </w:r>
    </w:p>
  </w:footnote>
  <w:footnote w:id="8">
    <w:p w:rsidR="00CF3000" w:rsidRPr="00CF3000" w:rsidRDefault="00CF3000">
      <w:pPr>
        <w:pStyle w:val="FootnoteText"/>
        <w:rPr>
          <w:lang w:val="en-US"/>
        </w:rPr>
      </w:pPr>
      <w:r>
        <w:rPr>
          <w:rStyle w:val="FootnoteReference"/>
        </w:rPr>
        <w:footnoteRef/>
      </w:r>
      <w:r>
        <w:t xml:space="preserve"> </w:t>
      </w:r>
      <w:r w:rsidR="001E179F">
        <w:tab/>
        <w:t>10 December 2007</w:t>
      </w:r>
    </w:p>
  </w:footnote>
  <w:footnote w:id="9">
    <w:p w:rsidR="00CF3000" w:rsidRPr="00CF3000" w:rsidRDefault="00CF3000">
      <w:pPr>
        <w:pStyle w:val="FootnoteText"/>
        <w:rPr>
          <w:lang w:val="en-US"/>
        </w:rPr>
      </w:pPr>
      <w:r>
        <w:rPr>
          <w:rStyle w:val="FootnoteReference"/>
        </w:rPr>
        <w:footnoteRef/>
      </w:r>
      <w:r>
        <w:t xml:space="preserve"> </w:t>
      </w:r>
      <w:r w:rsidR="001E179F">
        <w:tab/>
        <w:t>10 October 2015</w:t>
      </w:r>
    </w:p>
  </w:footnote>
  <w:footnote w:id="10">
    <w:p w:rsidR="007B70E1" w:rsidRPr="00C40E6E" w:rsidRDefault="007B70E1" w:rsidP="007B70E1">
      <w:pPr>
        <w:pStyle w:val="FootnoteText"/>
        <w:rPr>
          <w:lang w:val="en-US"/>
        </w:rPr>
      </w:pPr>
      <w:r>
        <w:rPr>
          <w:rStyle w:val="FootnoteReference"/>
        </w:rPr>
        <w:footnoteRef/>
      </w:r>
      <w:r>
        <w:t xml:space="preserve"> </w:t>
      </w:r>
      <w:r w:rsidR="001E179F">
        <w:tab/>
        <w:t>24 June 2004</w:t>
      </w:r>
    </w:p>
  </w:footnote>
  <w:footnote w:id="11">
    <w:p w:rsidR="00C40E6E" w:rsidRPr="00C40E6E" w:rsidRDefault="00C40E6E">
      <w:pPr>
        <w:pStyle w:val="FootnoteText"/>
        <w:rPr>
          <w:lang w:val="en-US"/>
        </w:rPr>
      </w:pPr>
      <w:r>
        <w:rPr>
          <w:rStyle w:val="FootnoteReference"/>
        </w:rPr>
        <w:footnoteRef/>
      </w:r>
      <w:r>
        <w:t xml:space="preserve"> </w:t>
      </w:r>
      <w:r w:rsidR="001E179F">
        <w:tab/>
        <w:t>22 October 2007</w:t>
      </w:r>
    </w:p>
  </w:footnote>
  <w:footnote w:id="12">
    <w:p w:rsidR="00497618" w:rsidRPr="00497618" w:rsidRDefault="00497618">
      <w:pPr>
        <w:pStyle w:val="FootnoteText"/>
        <w:rPr>
          <w:lang w:val="en-US"/>
        </w:rPr>
      </w:pPr>
      <w:r>
        <w:rPr>
          <w:rStyle w:val="FootnoteReference"/>
        </w:rPr>
        <w:footnoteRef/>
      </w:r>
      <w:r>
        <w:t xml:space="preserve"> </w:t>
      </w:r>
      <w:r w:rsidR="001E179F">
        <w:tab/>
        <w:t>Application no. 23335/07</w:t>
      </w:r>
    </w:p>
  </w:footnote>
  <w:footnote w:id="13">
    <w:p w:rsidR="00497618" w:rsidRPr="00497618" w:rsidRDefault="00497618">
      <w:pPr>
        <w:pStyle w:val="FootnoteText"/>
        <w:rPr>
          <w:lang w:val="en-US"/>
        </w:rPr>
      </w:pPr>
      <w:r>
        <w:rPr>
          <w:rStyle w:val="FootnoteReference"/>
        </w:rPr>
        <w:footnoteRef/>
      </w:r>
      <w:r>
        <w:t xml:space="preserve"> </w:t>
      </w:r>
      <w:r w:rsidR="001E179F">
        <w:tab/>
        <w:t>Applications no. 4550/15, 6091/16 and 8819/16</w:t>
      </w:r>
    </w:p>
  </w:footnote>
  <w:footnote w:id="14">
    <w:p w:rsidR="009733A4" w:rsidRPr="009733A4" w:rsidRDefault="009733A4">
      <w:pPr>
        <w:pStyle w:val="FootnoteText"/>
        <w:rPr>
          <w:lang w:val="en-US"/>
        </w:rPr>
      </w:pPr>
      <w:r>
        <w:rPr>
          <w:rStyle w:val="FootnoteReference"/>
        </w:rPr>
        <w:footnoteRef/>
      </w:r>
      <w:r>
        <w:t xml:space="preserve"> </w:t>
      </w:r>
      <w:r w:rsidR="001E179F">
        <w:tab/>
        <w:t xml:space="preserve">See </w:t>
      </w:r>
      <w:r w:rsidR="001E179F" w:rsidRPr="001E179F">
        <w:rPr>
          <w:u w:val="single"/>
        </w:rPr>
        <w:t>Magyar</w:t>
      </w:r>
      <w:r w:rsidR="001E179F">
        <w:t>, supra, note 2.</w:t>
      </w:r>
    </w:p>
  </w:footnote>
  <w:footnote w:id="15">
    <w:p w:rsidR="00A06177" w:rsidRPr="00A06177" w:rsidRDefault="00A06177">
      <w:pPr>
        <w:pStyle w:val="FootnoteText"/>
        <w:rPr>
          <w:lang w:val="en-US"/>
        </w:rPr>
      </w:pPr>
      <w:r>
        <w:rPr>
          <w:rStyle w:val="FootnoteReference"/>
        </w:rPr>
        <w:footnoteRef/>
      </w:r>
      <w:r>
        <w:t xml:space="preserve"> </w:t>
      </w:r>
      <w:r>
        <w:rPr>
          <w:lang w:val="en-US"/>
        </w:rPr>
        <w:tab/>
        <w:t xml:space="preserve">CEDEM submitted the letter shown in the Appendix seeking permission to </w:t>
      </w:r>
      <w:r w:rsidRPr="00A06177">
        <w:rPr>
          <w:lang w:val="en-US"/>
        </w:rPr>
        <w:t>intervene</w:t>
      </w:r>
      <w:r>
        <w:rPr>
          <w:lang w:val="en-US"/>
        </w:rPr>
        <w:t xml:space="preserve"> in an important </w:t>
      </w:r>
      <w:r w:rsidRPr="00A06177">
        <w:rPr>
          <w:lang w:val="en-US"/>
        </w:rPr>
        <w:t>Article </w:t>
      </w:r>
      <w:r>
        <w:rPr>
          <w:lang w:val="en-US"/>
        </w:rPr>
        <w:t xml:space="preserve">10 case; the Court granted permission and </w:t>
      </w:r>
      <w:r w:rsidRPr="00A06177">
        <w:rPr>
          <w:lang w:val="en-US"/>
        </w:rPr>
        <w:t xml:space="preserve">CEDEM </w:t>
      </w:r>
      <w:r>
        <w:rPr>
          <w:lang w:val="en-US"/>
        </w:rPr>
        <w:t>submitted its brief.  The Court seems to prefer the terms "written comments" or "observations" rather than "amicus curia</w:t>
      </w:r>
      <w:r w:rsidR="0072131A">
        <w:rPr>
          <w:lang w:val="en-US"/>
        </w:rPr>
        <w:t>e</w:t>
      </w:r>
      <w:r>
        <w:rPr>
          <w:lang w:val="en-US"/>
        </w:rPr>
        <w:t>" briefs.</w:t>
      </w:r>
    </w:p>
  </w:footnote>
  <w:footnote w:id="16">
    <w:p w:rsidR="007549E6" w:rsidRPr="00565138" w:rsidRDefault="007549E6" w:rsidP="007549E6">
      <w:pPr>
        <w:pStyle w:val="FootnoteText"/>
        <w:rPr>
          <w:lang w:val="en-US"/>
        </w:rPr>
      </w:pPr>
      <w:r>
        <w:rPr>
          <w:rStyle w:val="FootnoteReference"/>
        </w:rPr>
        <w:footnoteRef/>
      </w:r>
      <w:r>
        <w:t xml:space="preserve"> </w:t>
      </w:r>
      <w:r>
        <w:rPr>
          <w:lang w:val="en-US"/>
        </w:rPr>
        <w:tab/>
        <w:t xml:space="preserve">Leach, Taking a Case to the European Court of Human Rights, Oxford University Press, 3d ed., 2011, pp.  49-52.  Harvey, Third Party Interventions before the ECHR:  A Rough Guide.  </w:t>
      </w:r>
      <w:hyperlink r:id="rId1" w:history="1">
        <w:r w:rsidRPr="004221A5">
          <w:rPr>
            <w:rStyle w:val="Hyperlink"/>
            <w:lang w:val="en-US"/>
          </w:rPr>
          <w:t>http://strasbourgobservers.com/2015/02/24/third-party-interventions-before-the-echr-a-rough-guide/</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95" w:rsidRDefault="00940E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95" w:rsidRDefault="00940E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95" w:rsidRDefault="00940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attachedTemplate r:id="rId1"/>
  <w:stylePaneFormatFilter w:val="1021"/>
  <w:defaultTabStop w:val="720"/>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applyBreakingRules/>
    <w:useFELayout/>
  </w:compat>
  <w:rsids>
    <w:rsidRoot w:val="00AF1F67"/>
    <w:rsid w:val="00025DCA"/>
    <w:rsid w:val="00026240"/>
    <w:rsid w:val="000331D2"/>
    <w:rsid w:val="00034FF4"/>
    <w:rsid w:val="000467A2"/>
    <w:rsid w:val="00047D57"/>
    <w:rsid w:val="00056B72"/>
    <w:rsid w:val="00061384"/>
    <w:rsid w:val="00073D24"/>
    <w:rsid w:val="000757C6"/>
    <w:rsid w:val="00080812"/>
    <w:rsid w:val="000A2763"/>
    <w:rsid w:val="000B1867"/>
    <w:rsid w:val="000E16F7"/>
    <w:rsid w:val="000E5DBB"/>
    <w:rsid w:val="00121BCD"/>
    <w:rsid w:val="00124221"/>
    <w:rsid w:val="001249E2"/>
    <w:rsid w:val="00143571"/>
    <w:rsid w:val="00144CF9"/>
    <w:rsid w:val="001532B1"/>
    <w:rsid w:val="001910CE"/>
    <w:rsid w:val="00192F8E"/>
    <w:rsid w:val="00195F42"/>
    <w:rsid w:val="0019735E"/>
    <w:rsid w:val="001A4597"/>
    <w:rsid w:val="001A5BE4"/>
    <w:rsid w:val="001A60AB"/>
    <w:rsid w:val="001A73D2"/>
    <w:rsid w:val="001B1143"/>
    <w:rsid w:val="001B3E6F"/>
    <w:rsid w:val="001B410C"/>
    <w:rsid w:val="001C1261"/>
    <w:rsid w:val="001D78C1"/>
    <w:rsid w:val="001D79BD"/>
    <w:rsid w:val="001E179F"/>
    <w:rsid w:val="001E3D42"/>
    <w:rsid w:val="001E6689"/>
    <w:rsid w:val="001F0045"/>
    <w:rsid w:val="001F2B35"/>
    <w:rsid w:val="001F39A2"/>
    <w:rsid w:val="001F7E47"/>
    <w:rsid w:val="0020061C"/>
    <w:rsid w:val="00216B90"/>
    <w:rsid w:val="0022280B"/>
    <w:rsid w:val="00223A63"/>
    <w:rsid w:val="00231A38"/>
    <w:rsid w:val="00233CF6"/>
    <w:rsid w:val="00243552"/>
    <w:rsid w:val="00257273"/>
    <w:rsid w:val="00261A65"/>
    <w:rsid w:val="00265E1F"/>
    <w:rsid w:val="00273201"/>
    <w:rsid w:val="002738F2"/>
    <w:rsid w:val="00274741"/>
    <w:rsid w:val="00276D03"/>
    <w:rsid w:val="00277576"/>
    <w:rsid w:val="00286C00"/>
    <w:rsid w:val="00290AC3"/>
    <w:rsid w:val="002A1CE6"/>
    <w:rsid w:val="002A6AE9"/>
    <w:rsid w:val="002B016D"/>
    <w:rsid w:val="002B748C"/>
    <w:rsid w:val="002C3601"/>
    <w:rsid w:val="002D6344"/>
    <w:rsid w:val="002D7695"/>
    <w:rsid w:val="002E5FA3"/>
    <w:rsid w:val="002F2531"/>
    <w:rsid w:val="00301575"/>
    <w:rsid w:val="00320DB5"/>
    <w:rsid w:val="00333840"/>
    <w:rsid w:val="00336619"/>
    <w:rsid w:val="003420AE"/>
    <w:rsid w:val="00346143"/>
    <w:rsid w:val="00372404"/>
    <w:rsid w:val="00372A05"/>
    <w:rsid w:val="0038018C"/>
    <w:rsid w:val="0038382D"/>
    <w:rsid w:val="00394B28"/>
    <w:rsid w:val="00395F64"/>
    <w:rsid w:val="003964F4"/>
    <w:rsid w:val="003B4AEB"/>
    <w:rsid w:val="003E236A"/>
    <w:rsid w:val="00406B2E"/>
    <w:rsid w:val="00412FEC"/>
    <w:rsid w:val="0043361E"/>
    <w:rsid w:val="004337F2"/>
    <w:rsid w:val="004409A0"/>
    <w:rsid w:val="0045006A"/>
    <w:rsid w:val="004526A0"/>
    <w:rsid w:val="004530DB"/>
    <w:rsid w:val="00461A1A"/>
    <w:rsid w:val="004625FC"/>
    <w:rsid w:val="004627B2"/>
    <w:rsid w:val="00464817"/>
    <w:rsid w:val="00473B5E"/>
    <w:rsid w:val="00483B7E"/>
    <w:rsid w:val="00497618"/>
    <w:rsid w:val="004A0699"/>
    <w:rsid w:val="004A2D26"/>
    <w:rsid w:val="004A796A"/>
    <w:rsid w:val="004B2E68"/>
    <w:rsid w:val="004C766A"/>
    <w:rsid w:val="004C7B3B"/>
    <w:rsid w:val="004D1A0A"/>
    <w:rsid w:val="004E0B16"/>
    <w:rsid w:val="004F6C1B"/>
    <w:rsid w:val="004F6D75"/>
    <w:rsid w:val="0050104E"/>
    <w:rsid w:val="00503306"/>
    <w:rsid w:val="00511ED1"/>
    <w:rsid w:val="0053035A"/>
    <w:rsid w:val="005345B9"/>
    <w:rsid w:val="005359BF"/>
    <w:rsid w:val="00537F50"/>
    <w:rsid w:val="00541694"/>
    <w:rsid w:val="005515E1"/>
    <w:rsid w:val="00553364"/>
    <w:rsid w:val="00555464"/>
    <w:rsid w:val="00565138"/>
    <w:rsid w:val="00565C73"/>
    <w:rsid w:val="005669B2"/>
    <w:rsid w:val="00580C5A"/>
    <w:rsid w:val="00584B70"/>
    <w:rsid w:val="00593D90"/>
    <w:rsid w:val="005963DF"/>
    <w:rsid w:val="005A0506"/>
    <w:rsid w:val="005A0635"/>
    <w:rsid w:val="005A40FB"/>
    <w:rsid w:val="005D0783"/>
    <w:rsid w:val="005F04F2"/>
    <w:rsid w:val="0060241B"/>
    <w:rsid w:val="006032E5"/>
    <w:rsid w:val="006167B2"/>
    <w:rsid w:val="00617EC5"/>
    <w:rsid w:val="00623BBD"/>
    <w:rsid w:val="0063031F"/>
    <w:rsid w:val="006324BC"/>
    <w:rsid w:val="006345DC"/>
    <w:rsid w:val="0064013D"/>
    <w:rsid w:val="00641846"/>
    <w:rsid w:val="00644647"/>
    <w:rsid w:val="00656F9E"/>
    <w:rsid w:val="006600CA"/>
    <w:rsid w:val="0066339F"/>
    <w:rsid w:val="006636E0"/>
    <w:rsid w:val="00671666"/>
    <w:rsid w:val="00676A90"/>
    <w:rsid w:val="00681D12"/>
    <w:rsid w:val="00690C11"/>
    <w:rsid w:val="0069580D"/>
    <w:rsid w:val="006A4966"/>
    <w:rsid w:val="006A578C"/>
    <w:rsid w:val="006E68BE"/>
    <w:rsid w:val="006F1738"/>
    <w:rsid w:val="006F51B8"/>
    <w:rsid w:val="006F5833"/>
    <w:rsid w:val="006F6FB1"/>
    <w:rsid w:val="0072131A"/>
    <w:rsid w:val="007330EA"/>
    <w:rsid w:val="00735FA9"/>
    <w:rsid w:val="0075160C"/>
    <w:rsid w:val="007549E6"/>
    <w:rsid w:val="00754DD5"/>
    <w:rsid w:val="00772981"/>
    <w:rsid w:val="00772BBA"/>
    <w:rsid w:val="007841EB"/>
    <w:rsid w:val="00787ADE"/>
    <w:rsid w:val="007A2377"/>
    <w:rsid w:val="007A7476"/>
    <w:rsid w:val="007B0D55"/>
    <w:rsid w:val="007B1690"/>
    <w:rsid w:val="007B70E1"/>
    <w:rsid w:val="007C0956"/>
    <w:rsid w:val="007C3F25"/>
    <w:rsid w:val="007C6A66"/>
    <w:rsid w:val="007D6F4F"/>
    <w:rsid w:val="007D75EB"/>
    <w:rsid w:val="007E4FCF"/>
    <w:rsid w:val="007E5320"/>
    <w:rsid w:val="007F0F71"/>
    <w:rsid w:val="007F2624"/>
    <w:rsid w:val="00810B87"/>
    <w:rsid w:val="00814A62"/>
    <w:rsid w:val="00821DFD"/>
    <w:rsid w:val="0082481B"/>
    <w:rsid w:val="00837CF5"/>
    <w:rsid w:val="00843AA0"/>
    <w:rsid w:val="00846391"/>
    <w:rsid w:val="00847CA1"/>
    <w:rsid w:val="00855015"/>
    <w:rsid w:val="008708A3"/>
    <w:rsid w:val="00875592"/>
    <w:rsid w:val="00875ECB"/>
    <w:rsid w:val="00882427"/>
    <w:rsid w:val="0088650C"/>
    <w:rsid w:val="0089174A"/>
    <w:rsid w:val="008B1E60"/>
    <w:rsid w:val="008B4622"/>
    <w:rsid w:val="008C2EF1"/>
    <w:rsid w:val="008C61D9"/>
    <w:rsid w:val="008D1C03"/>
    <w:rsid w:val="008E0570"/>
    <w:rsid w:val="008E41A6"/>
    <w:rsid w:val="008E681C"/>
    <w:rsid w:val="008F4D34"/>
    <w:rsid w:val="00916F78"/>
    <w:rsid w:val="00920ADF"/>
    <w:rsid w:val="00923F42"/>
    <w:rsid w:val="00926FD4"/>
    <w:rsid w:val="00932746"/>
    <w:rsid w:val="00940E95"/>
    <w:rsid w:val="00943755"/>
    <w:rsid w:val="00957F96"/>
    <w:rsid w:val="009733A4"/>
    <w:rsid w:val="009775F9"/>
    <w:rsid w:val="00981ECC"/>
    <w:rsid w:val="00986BEE"/>
    <w:rsid w:val="009873EC"/>
    <w:rsid w:val="00993E9A"/>
    <w:rsid w:val="009B1EEA"/>
    <w:rsid w:val="009B329F"/>
    <w:rsid w:val="009C194B"/>
    <w:rsid w:val="009D41F7"/>
    <w:rsid w:val="009D775E"/>
    <w:rsid w:val="009F7CE6"/>
    <w:rsid w:val="00A06177"/>
    <w:rsid w:val="00A179A6"/>
    <w:rsid w:val="00A41708"/>
    <w:rsid w:val="00A438AF"/>
    <w:rsid w:val="00A51D96"/>
    <w:rsid w:val="00A67D54"/>
    <w:rsid w:val="00AA4CA3"/>
    <w:rsid w:val="00AD27A3"/>
    <w:rsid w:val="00AE055C"/>
    <w:rsid w:val="00AE0632"/>
    <w:rsid w:val="00AF1F67"/>
    <w:rsid w:val="00AF73A5"/>
    <w:rsid w:val="00B404D5"/>
    <w:rsid w:val="00B42C9D"/>
    <w:rsid w:val="00B63213"/>
    <w:rsid w:val="00B74517"/>
    <w:rsid w:val="00B84C77"/>
    <w:rsid w:val="00B870DB"/>
    <w:rsid w:val="00B903DD"/>
    <w:rsid w:val="00BA0FA9"/>
    <w:rsid w:val="00BA0FD6"/>
    <w:rsid w:val="00BB32E7"/>
    <w:rsid w:val="00BC33E6"/>
    <w:rsid w:val="00BC5B77"/>
    <w:rsid w:val="00BC7E23"/>
    <w:rsid w:val="00BD0FF0"/>
    <w:rsid w:val="00BE1172"/>
    <w:rsid w:val="00BE2C43"/>
    <w:rsid w:val="00BE6E52"/>
    <w:rsid w:val="00C03DA8"/>
    <w:rsid w:val="00C25586"/>
    <w:rsid w:val="00C307BF"/>
    <w:rsid w:val="00C40E6E"/>
    <w:rsid w:val="00C43030"/>
    <w:rsid w:val="00C52B63"/>
    <w:rsid w:val="00C62DE9"/>
    <w:rsid w:val="00C62EEB"/>
    <w:rsid w:val="00C62F7D"/>
    <w:rsid w:val="00C66D2B"/>
    <w:rsid w:val="00C66F18"/>
    <w:rsid w:val="00C8038A"/>
    <w:rsid w:val="00C864AD"/>
    <w:rsid w:val="00C95FCC"/>
    <w:rsid w:val="00CA2DBF"/>
    <w:rsid w:val="00CB4B47"/>
    <w:rsid w:val="00CC23D3"/>
    <w:rsid w:val="00CC2E97"/>
    <w:rsid w:val="00CE3D6A"/>
    <w:rsid w:val="00CE6FCC"/>
    <w:rsid w:val="00CF0C2E"/>
    <w:rsid w:val="00CF3000"/>
    <w:rsid w:val="00CF489F"/>
    <w:rsid w:val="00D12B84"/>
    <w:rsid w:val="00D12F65"/>
    <w:rsid w:val="00D208F3"/>
    <w:rsid w:val="00D250AD"/>
    <w:rsid w:val="00D270F7"/>
    <w:rsid w:val="00D4320C"/>
    <w:rsid w:val="00D43A04"/>
    <w:rsid w:val="00D47785"/>
    <w:rsid w:val="00D65658"/>
    <w:rsid w:val="00D7695C"/>
    <w:rsid w:val="00D8341D"/>
    <w:rsid w:val="00D87643"/>
    <w:rsid w:val="00D94955"/>
    <w:rsid w:val="00DA2299"/>
    <w:rsid w:val="00DD42A7"/>
    <w:rsid w:val="00DE2D22"/>
    <w:rsid w:val="00DF58D4"/>
    <w:rsid w:val="00DF5ACD"/>
    <w:rsid w:val="00DF7809"/>
    <w:rsid w:val="00DF7A81"/>
    <w:rsid w:val="00E01477"/>
    <w:rsid w:val="00E072DE"/>
    <w:rsid w:val="00E16B6C"/>
    <w:rsid w:val="00E25981"/>
    <w:rsid w:val="00E33A78"/>
    <w:rsid w:val="00E67934"/>
    <w:rsid w:val="00E70973"/>
    <w:rsid w:val="00E766C2"/>
    <w:rsid w:val="00E84527"/>
    <w:rsid w:val="00E86F5B"/>
    <w:rsid w:val="00E8758C"/>
    <w:rsid w:val="00E940DD"/>
    <w:rsid w:val="00EA2BF5"/>
    <w:rsid w:val="00EB0A61"/>
    <w:rsid w:val="00ED31ED"/>
    <w:rsid w:val="00ED6706"/>
    <w:rsid w:val="00ED71B8"/>
    <w:rsid w:val="00EE140F"/>
    <w:rsid w:val="00EE7914"/>
    <w:rsid w:val="00EF01F4"/>
    <w:rsid w:val="00EF0C30"/>
    <w:rsid w:val="00EF6A03"/>
    <w:rsid w:val="00F014C5"/>
    <w:rsid w:val="00F015DB"/>
    <w:rsid w:val="00F0369A"/>
    <w:rsid w:val="00F0433C"/>
    <w:rsid w:val="00F1218A"/>
    <w:rsid w:val="00F12EE5"/>
    <w:rsid w:val="00F2112F"/>
    <w:rsid w:val="00F224E4"/>
    <w:rsid w:val="00F324CE"/>
    <w:rsid w:val="00F3648E"/>
    <w:rsid w:val="00F54609"/>
    <w:rsid w:val="00F57049"/>
    <w:rsid w:val="00F67BE0"/>
    <w:rsid w:val="00F7213D"/>
    <w:rsid w:val="00F736CE"/>
    <w:rsid w:val="00F7409C"/>
    <w:rsid w:val="00F808D3"/>
    <w:rsid w:val="00F8591E"/>
    <w:rsid w:val="00F91067"/>
    <w:rsid w:val="00F91DA3"/>
    <w:rsid w:val="00F93F20"/>
    <w:rsid w:val="00F966D0"/>
    <w:rsid w:val="00FA1FEC"/>
    <w:rsid w:val="00FA2946"/>
    <w:rsid w:val="00FB074E"/>
    <w:rsid w:val="00FB0BD0"/>
    <w:rsid w:val="00FB4F9B"/>
    <w:rsid w:val="00FC25F0"/>
    <w:rsid w:val="00FC2F94"/>
    <w:rsid w:val="00FD33A2"/>
    <w:rsid w:val="00FE6F57"/>
    <w:rsid w:val="00FF5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143571"/>
    <w:pPr>
      <w:spacing w:after="0" w:line="480" w:lineRule="auto"/>
    </w:pPr>
    <w:rPr>
      <w:lang w:eastAsia="en-GB"/>
    </w:rPr>
  </w:style>
  <w:style w:type="character" w:customStyle="1" w:styleId="BodyTextChar">
    <w:name w:val="Body Text Char"/>
    <w:basedOn w:val="DefaultParagraphFont"/>
    <w:link w:val="BodyText"/>
    <w:rsid w:val="00143571"/>
    <w:rPr>
      <w:rFonts w:cs="Times New Roman"/>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AF1F67"/>
    <w:pPr>
      <w:ind w:firstLine="720"/>
    </w:pPr>
  </w:style>
  <w:style w:type="character" w:customStyle="1" w:styleId="BodyTextFirstIndentChar">
    <w:name w:val="Body Text First Indent Char"/>
    <w:basedOn w:val="BodyTextChar"/>
    <w:link w:val="BodyTextFirstIndent"/>
    <w:rsid w:val="00AF1F67"/>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A417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arget="footnotes.xml" Type="http://schemas.openxmlformats.org/officeDocument/2006/relationships/footnotes" Id="rId13"></Relationship><Relationship Target="footer1.xml" Type="http://schemas.openxmlformats.org/officeDocument/2006/relationships/footer" Id="rId18"></Relationship><Relationship Target="footer3.xml" Type="http://schemas.openxmlformats.org/officeDocument/2006/relationships/footer" Id="rId21"></Relationship><Relationship Target="webSettings.xml" Type="http://schemas.openxmlformats.org/officeDocument/2006/relationships/webSettings" Id="rId12"></Relationship><Relationship Target="header2.xml" Type="http://schemas.openxmlformats.org/officeDocument/2006/relationships/header" Id="rId17"></Relationship><Relationship Target="header1.xml" Type="http://schemas.openxmlformats.org/officeDocument/2006/relationships/header" Id="rId16"></Relationship><Relationship Target="header3.xml" Type="http://schemas.openxmlformats.org/officeDocument/2006/relationships/header" Id="rId20"></Relationship><Relationship Target="settings.xml" Type="http://schemas.openxmlformats.org/officeDocument/2006/relationships/settings" Id="rId11"></Relationship><Relationship Target="theme/theme1.xml" Type="http://schemas.openxmlformats.org/officeDocument/2006/relationships/theme" Id="rId24"></Relationship><Relationship TargetMode="External" Target="http://www.echr.coe.int" Type="http://schemas.openxmlformats.org/officeDocument/2006/relationships/hyperlink" Id="rId15"></Relationship><Relationship Target="glossary/document.xml" Type="http://schemas.openxmlformats.org/officeDocument/2006/relationships/glossaryDocument" Id="rId23"></Relationship><Relationship Target="styles.xml" Type="http://schemas.openxmlformats.org/officeDocument/2006/relationships/styles" Id="rId10"></Relationship><Relationship Target="footer2.xml" Type="http://schemas.openxmlformats.org/officeDocument/2006/relationships/footer" Id="rId19"></Relationship><Relationship Target="numbering.xml" Type="http://schemas.openxmlformats.org/officeDocument/2006/relationships/numbering" Id="rId9"></Relationship><Relationship Target="endnotes.xml" Type="http://schemas.openxmlformats.org/officeDocument/2006/relationships/endnotes" Id="rId14"></Relationship><Relationship Target="fontTable.xml" Type="http://schemas.openxmlformats.org/officeDocument/2006/relationships/fontTable" Id="rId22"></Relationship></Relationships>
</file>

<file path=word/_rels/footnotes.xml.rels><?xml version="1.0" encoding="UTF-8" ?><Relationships xmlns="http://schemas.openxmlformats.org/package/2006/relationships"><Relationship TargetMode="External" Target="http://strasbourgobservers.com/2015/02/24/third-party-interventions-before-the-echr-a-rough-guide/" Type="http://schemas.openxmlformats.org/officeDocument/2006/relationships/hyperlink" Id="rId1"></Relationship></Relationships>
</file>

<file path=word/_rels/settings.xml.rels><?xml version="1.0" encoding="UTF-8" ?><Relationships xmlns="http://schemas.openxmlformats.org/package/2006/relationships"><Relationship TargetMode="External" Target="file:///C:\Program%20Files\Microsoft%20Office\Templates\CCTemplates\Core\blank.dotm" Type="http://schemas.openxmlformats.org/officeDocument/2006/relationships/attachedTemplate" Id="rId1"></Relationshi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07BEA6B-2DE5-448E-9F81-5748C431A2D2}"/>
      </w:docPartPr>
      <w:docPartBody>
        <w:p w:rsidR="000A2E7C" w:rsidRDefault="009D035A">
          <w:r w:rsidRPr="00B960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C4FB5"/>
    <w:rsid w:val="000A2E7C"/>
    <w:rsid w:val="001B4974"/>
    <w:rsid w:val="00284F65"/>
    <w:rsid w:val="002C1BFC"/>
    <w:rsid w:val="006C4FB5"/>
    <w:rsid w:val="007773F2"/>
    <w:rsid w:val="007A1D46"/>
    <w:rsid w:val="009070DE"/>
    <w:rsid w:val="009963BB"/>
    <w:rsid w:val="009D035A"/>
    <w:rsid w:val="00A87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D035A"/>
    <w:rPr>
      <w:color w:val="808080"/>
    </w:rPr>
  </w:style>
  <w:style w:type="paragraph" w:customStyle="1" w:styleId="5FA8EB33D3F046F79D57314C9A2034B4">
    <w:name w:val="5FA8EB33D3F046F79D57314C9A2034B4"/>
    <w:rsid w:val="006C4F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